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58B" w:rsidRPr="00A0258B" w:rsidRDefault="00A0258B" w:rsidP="00A0258B">
      <w:pPr>
        <w:shd w:val="clear" w:color="auto" w:fill="FFFFFF"/>
        <w:spacing w:after="0" w:line="393" w:lineRule="atLeast"/>
        <w:textAlignment w:val="top"/>
        <w:rPr>
          <w:rFonts w:ascii="Arial" w:eastAsia="Times New Roman" w:hAnsi="Arial" w:cs="Arial"/>
          <w:color w:val="000000"/>
          <w:sz w:val="17"/>
          <w:szCs w:val="17"/>
        </w:rPr>
      </w:pPr>
      <w:hyperlink r:id="rId5" w:history="1">
        <w:r w:rsidRPr="00A0258B">
          <w:rPr>
            <w:rFonts w:ascii="Arial" w:eastAsia="Times New Roman" w:hAnsi="Arial" w:cs="Arial"/>
            <w:color w:val="642A8F"/>
            <w:sz w:val="17"/>
            <w:szCs w:val="17"/>
            <w:u w:val="single"/>
          </w:rPr>
          <w:t>nnect Tissue Res</w:t>
        </w:r>
      </w:hyperlink>
      <w:r w:rsidRPr="00A0258B">
        <w:rPr>
          <w:rFonts w:ascii="Arial" w:eastAsia="Times New Roman" w:hAnsi="Arial" w:cs="Arial"/>
          <w:color w:val="000000"/>
          <w:sz w:val="17"/>
          <w:szCs w:val="17"/>
        </w:rPr>
        <w:t>. Author manuscript; available in PMC 2014 Aug 7.</w:t>
      </w:r>
    </w:p>
    <w:p w:rsidR="00A0258B" w:rsidRPr="00A0258B" w:rsidRDefault="00A0258B" w:rsidP="00A0258B">
      <w:pPr>
        <w:shd w:val="clear" w:color="auto" w:fill="FFFFFF"/>
        <w:spacing w:after="0" w:line="393" w:lineRule="atLeast"/>
        <w:textAlignment w:val="top"/>
        <w:rPr>
          <w:rFonts w:ascii="Arial" w:eastAsia="Times New Roman" w:hAnsi="Arial" w:cs="Arial"/>
          <w:color w:val="000000"/>
          <w:sz w:val="17"/>
          <w:szCs w:val="17"/>
        </w:rPr>
      </w:pPr>
      <w:r w:rsidRPr="00A0258B">
        <w:rPr>
          <w:rFonts w:ascii="Arial" w:eastAsia="Times New Roman" w:hAnsi="Arial" w:cs="Arial"/>
          <w:color w:val="000000"/>
          <w:sz w:val="17"/>
          <w:szCs w:val="17"/>
        </w:rPr>
        <w:t>Published in final edited form as:</w:t>
      </w:r>
    </w:p>
    <w:p w:rsidR="00A0258B" w:rsidRPr="00A0258B" w:rsidRDefault="00A0258B" w:rsidP="00A0258B">
      <w:pPr>
        <w:shd w:val="clear" w:color="auto" w:fill="FFFFFF"/>
        <w:spacing w:after="0" w:line="393" w:lineRule="atLeast"/>
        <w:textAlignment w:val="top"/>
        <w:rPr>
          <w:rFonts w:ascii="Arial" w:eastAsia="Times New Roman" w:hAnsi="Arial" w:cs="Arial"/>
          <w:color w:val="000000"/>
          <w:sz w:val="17"/>
          <w:szCs w:val="17"/>
        </w:rPr>
      </w:pPr>
      <w:hyperlink r:id="rId6" w:tgtFrame="pmc_ext" w:history="1">
        <w:r w:rsidRPr="00A0258B">
          <w:rPr>
            <w:rFonts w:ascii="Arial" w:eastAsia="Times New Roman" w:hAnsi="Arial" w:cs="Arial"/>
            <w:color w:val="642A8F"/>
            <w:sz w:val="17"/>
            <w:szCs w:val="17"/>
            <w:u w:val="single"/>
          </w:rPr>
          <w:t>Connect Tissue Res. 2014 Apr; 55(2): 71–79.</w:t>
        </w:r>
      </w:hyperlink>
    </w:p>
    <w:p w:rsidR="00A0258B" w:rsidRPr="00A0258B" w:rsidRDefault="00A0258B" w:rsidP="00A0258B">
      <w:pPr>
        <w:shd w:val="clear" w:color="auto" w:fill="FFFFFF"/>
        <w:spacing w:after="0" w:line="393" w:lineRule="atLeast"/>
        <w:textAlignment w:val="top"/>
        <w:rPr>
          <w:rFonts w:ascii="Arial" w:eastAsia="Times New Roman" w:hAnsi="Arial" w:cs="Arial"/>
          <w:color w:val="000000"/>
          <w:sz w:val="17"/>
          <w:szCs w:val="17"/>
        </w:rPr>
      </w:pPr>
      <w:r w:rsidRPr="00A0258B">
        <w:rPr>
          <w:rFonts w:ascii="Arial" w:eastAsia="Times New Roman" w:hAnsi="Arial" w:cs="Arial"/>
          <w:color w:val="000000"/>
          <w:sz w:val="17"/>
          <w:szCs w:val="17"/>
        </w:rPr>
        <w:t>Published online 2014 Jan 24. doi:  </w:t>
      </w:r>
      <w:hyperlink r:id="rId7" w:tgtFrame="pmc_ext" w:history="1">
        <w:r w:rsidRPr="00A0258B">
          <w:rPr>
            <w:rFonts w:ascii="Arial" w:eastAsia="Times New Roman" w:hAnsi="Arial" w:cs="Arial"/>
            <w:color w:val="642A8F"/>
            <w:sz w:val="17"/>
            <w:szCs w:val="17"/>
            <w:u w:val="single"/>
          </w:rPr>
          <w:t>10.3109/03008207.2013.877894</w:t>
        </w:r>
      </w:hyperlink>
    </w:p>
    <w:p w:rsidR="00A0258B" w:rsidRPr="00A0258B" w:rsidRDefault="00A0258B" w:rsidP="00A0258B">
      <w:pPr>
        <w:shd w:val="clear" w:color="auto" w:fill="FFFFFF"/>
        <w:spacing w:after="0" w:line="393" w:lineRule="atLeast"/>
        <w:jc w:val="right"/>
        <w:textAlignment w:val="top"/>
        <w:rPr>
          <w:rFonts w:ascii="Arial" w:eastAsia="Times New Roman" w:hAnsi="Arial" w:cs="Arial"/>
          <w:color w:val="000000"/>
          <w:sz w:val="17"/>
          <w:szCs w:val="17"/>
        </w:rPr>
      </w:pPr>
      <w:r w:rsidRPr="00A0258B">
        <w:rPr>
          <w:rFonts w:ascii="Arial" w:eastAsia="Times New Roman" w:hAnsi="Arial" w:cs="Arial"/>
          <w:color w:val="000000"/>
          <w:sz w:val="17"/>
          <w:szCs w:val="17"/>
        </w:rPr>
        <w:t>PMCID: PMC4124742</w:t>
      </w:r>
    </w:p>
    <w:p w:rsidR="00A0258B" w:rsidRPr="00A0258B" w:rsidRDefault="00A0258B" w:rsidP="00A0258B">
      <w:pPr>
        <w:shd w:val="clear" w:color="auto" w:fill="FFFFFF"/>
        <w:spacing w:after="0" w:line="393" w:lineRule="atLeast"/>
        <w:jc w:val="right"/>
        <w:textAlignment w:val="top"/>
        <w:rPr>
          <w:rFonts w:ascii="Arial" w:eastAsia="Times New Roman" w:hAnsi="Arial" w:cs="Arial"/>
          <w:color w:val="000000"/>
          <w:sz w:val="17"/>
          <w:szCs w:val="17"/>
        </w:rPr>
      </w:pPr>
      <w:r w:rsidRPr="00A0258B">
        <w:rPr>
          <w:rFonts w:ascii="Arial" w:eastAsia="Times New Roman" w:hAnsi="Arial" w:cs="Arial"/>
          <w:color w:val="000000"/>
          <w:sz w:val="17"/>
          <w:szCs w:val="17"/>
        </w:rPr>
        <w:t>NIHMSID: NIHMS608096</w:t>
      </w:r>
    </w:p>
    <w:p w:rsidR="00A0258B" w:rsidRPr="00A0258B" w:rsidRDefault="00A0258B" w:rsidP="00A0258B">
      <w:pPr>
        <w:shd w:val="clear" w:color="auto" w:fill="FFFFFF"/>
        <w:spacing w:line="393" w:lineRule="atLeast"/>
        <w:jc w:val="right"/>
        <w:textAlignment w:val="top"/>
        <w:rPr>
          <w:rFonts w:ascii="Arial" w:eastAsia="Times New Roman" w:hAnsi="Arial" w:cs="Arial"/>
          <w:color w:val="000000"/>
          <w:sz w:val="17"/>
          <w:szCs w:val="17"/>
        </w:rPr>
      </w:pPr>
      <w:r w:rsidRPr="00A0258B">
        <w:rPr>
          <w:rFonts w:ascii="Arial" w:eastAsia="Times New Roman" w:hAnsi="Arial" w:cs="Arial"/>
          <w:color w:val="000000"/>
          <w:sz w:val="17"/>
          <w:szCs w:val="17"/>
        </w:rPr>
        <w:t>PMID: </w:t>
      </w:r>
      <w:hyperlink r:id="rId8" w:history="1">
        <w:r w:rsidRPr="00A0258B">
          <w:rPr>
            <w:rFonts w:ascii="Arial" w:eastAsia="Times New Roman" w:hAnsi="Arial" w:cs="Arial"/>
            <w:color w:val="642A8F"/>
            <w:sz w:val="17"/>
            <w:szCs w:val="17"/>
            <w:u w:val="single"/>
          </w:rPr>
          <w:t>24409811</w:t>
        </w:r>
      </w:hyperlink>
    </w:p>
    <w:p w:rsidR="00A0258B" w:rsidRPr="00A0258B" w:rsidRDefault="00A0258B" w:rsidP="00A0258B">
      <w:pPr>
        <w:shd w:val="clear" w:color="auto" w:fill="FFFFFF"/>
        <w:spacing w:before="240" w:after="120" w:line="324" w:lineRule="atLeast"/>
        <w:outlineLvl w:val="0"/>
        <w:rPr>
          <w:rFonts w:ascii="Arial" w:eastAsia="Times New Roman" w:hAnsi="Arial" w:cs="Arial"/>
          <w:color w:val="000000"/>
          <w:kern w:val="36"/>
          <w:sz w:val="31"/>
          <w:szCs w:val="31"/>
        </w:rPr>
      </w:pPr>
      <w:r w:rsidRPr="00A0258B">
        <w:rPr>
          <w:rFonts w:ascii="Arial" w:eastAsia="Times New Roman" w:hAnsi="Arial" w:cs="Arial"/>
          <w:color w:val="000000"/>
          <w:kern w:val="36"/>
          <w:sz w:val="31"/>
          <w:szCs w:val="31"/>
        </w:rPr>
        <w:t>The applications of buckminsterfullerene C</w:t>
      </w:r>
      <w:r w:rsidRPr="00A0258B">
        <w:rPr>
          <w:rFonts w:ascii="Arial" w:eastAsia="Times New Roman" w:hAnsi="Arial" w:cs="Arial"/>
          <w:color w:val="000000"/>
          <w:kern w:val="36"/>
          <w:sz w:val="26"/>
          <w:szCs w:val="26"/>
          <w:vertAlign w:val="subscript"/>
        </w:rPr>
        <w:t>60</w:t>
      </w:r>
      <w:r w:rsidRPr="00A0258B">
        <w:rPr>
          <w:rFonts w:ascii="Arial" w:eastAsia="Times New Roman" w:hAnsi="Arial" w:cs="Arial"/>
          <w:color w:val="000000"/>
          <w:kern w:val="36"/>
          <w:sz w:val="31"/>
          <w:szCs w:val="31"/>
        </w:rPr>
        <w:t> and derivatives in orthopaedic research</w:t>
      </w:r>
    </w:p>
    <w:p w:rsidR="00A0258B" w:rsidRPr="00A0258B" w:rsidRDefault="00A0258B" w:rsidP="00A0258B">
      <w:pPr>
        <w:shd w:val="clear" w:color="auto" w:fill="FFFFFF"/>
        <w:spacing w:line="240" w:lineRule="auto"/>
        <w:rPr>
          <w:rFonts w:ascii="Arial" w:eastAsia="Times New Roman" w:hAnsi="Arial" w:cs="Arial"/>
          <w:color w:val="000000"/>
          <w:sz w:val="20"/>
          <w:szCs w:val="20"/>
        </w:rPr>
      </w:pPr>
      <w:hyperlink r:id="rId9" w:history="1">
        <w:r w:rsidRPr="00A0258B">
          <w:rPr>
            <w:rFonts w:ascii="Arial" w:eastAsia="Times New Roman" w:hAnsi="Arial" w:cs="Arial"/>
            <w:color w:val="642A8F"/>
            <w:sz w:val="20"/>
            <w:szCs w:val="20"/>
            <w:u w:val="single"/>
          </w:rPr>
          <w:t>Qihai Liu</w:t>
        </w:r>
      </w:hyperlink>
      <w:r w:rsidRPr="00A0258B">
        <w:rPr>
          <w:rFonts w:ascii="Arial" w:eastAsia="Times New Roman" w:hAnsi="Arial" w:cs="Arial"/>
          <w:color w:val="000000"/>
          <w:sz w:val="20"/>
          <w:szCs w:val="20"/>
        </w:rPr>
        <w:t>, </w:t>
      </w:r>
      <w:hyperlink r:id="rId10" w:history="1">
        <w:r w:rsidRPr="00A0258B">
          <w:rPr>
            <w:rFonts w:ascii="Arial" w:eastAsia="Times New Roman" w:hAnsi="Arial" w:cs="Arial"/>
            <w:color w:val="642A8F"/>
            <w:sz w:val="20"/>
            <w:szCs w:val="20"/>
            <w:u w:val="single"/>
          </w:rPr>
          <w:t>Quanjun Cui</w:t>
        </w:r>
      </w:hyperlink>
      <w:r w:rsidRPr="00A0258B">
        <w:rPr>
          <w:rFonts w:ascii="Arial" w:eastAsia="Times New Roman" w:hAnsi="Arial" w:cs="Arial"/>
          <w:color w:val="000000"/>
          <w:sz w:val="20"/>
          <w:szCs w:val="20"/>
        </w:rPr>
        <w:t>, </w:t>
      </w:r>
      <w:hyperlink r:id="rId11" w:history="1">
        <w:r w:rsidRPr="00A0258B">
          <w:rPr>
            <w:rFonts w:ascii="Arial" w:eastAsia="Times New Roman" w:hAnsi="Arial" w:cs="Arial"/>
            <w:color w:val="642A8F"/>
            <w:sz w:val="20"/>
            <w:szCs w:val="20"/>
            <w:u w:val="single"/>
          </w:rPr>
          <w:t>Xudong Joshua Li</w:t>
        </w:r>
      </w:hyperlink>
      <w:r w:rsidRPr="00A0258B">
        <w:rPr>
          <w:rFonts w:ascii="Arial" w:eastAsia="Times New Roman" w:hAnsi="Arial" w:cs="Arial"/>
          <w:color w:val="000000"/>
          <w:sz w:val="20"/>
          <w:szCs w:val="20"/>
        </w:rPr>
        <w:t>, and </w:t>
      </w:r>
      <w:hyperlink r:id="rId12" w:history="1">
        <w:r w:rsidRPr="00A0258B">
          <w:rPr>
            <w:rFonts w:ascii="Arial" w:eastAsia="Times New Roman" w:hAnsi="Arial" w:cs="Arial"/>
            <w:color w:val="642A8F"/>
            <w:sz w:val="20"/>
            <w:szCs w:val="20"/>
            <w:u w:val="single"/>
          </w:rPr>
          <w:t>Li Jin</w:t>
        </w:r>
      </w:hyperlink>
      <w:r w:rsidRPr="00A0258B">
        <w:rPr>
          <w:rFonts w:ascii="Arial" w:eastAsia="Times New Roman" w:hAnsi="Arial" w:cs="Arial"/>
          <w:color w:val="000000"/>
          <w:sz w:val="17"/>
          <w:szCs w:val="17"/>
          <w:vertAlign w:val="superscript"/>
        </w:rPr>
        <w:t>*</w:t>
      </w:r>
    </w:p>
    <w:p w:rsidR="00A0258B" w:rsidRPr="00A0258B" w:rsidRDefault="00A0258B" w:rsidP="00A0258B">
      <w:pPr>
        <w:shd w:val="clear" w:color="auto" w:fill="FFFFFF"/>
        <w:spacing w:line="393" w:lineRule="atLeast"/>
        <w:rPr>
          <w:rFonts w:ascii="Arial" w:eastAsia="Times New Roman" w:hAnsi="Arial" w:cs="Arial"/>
          <w:color w:val="000000"/>
          <w:sz w:val="17"/>
          <w:szCs w:val="17"/>
        </w:rPr>
      </w:pPr>
      <w:hyperlink r:id="rId13" w:history="1">
        <w:r w:rsidRPr="00A0258B">
          <w:rPr>
            <w:rFonts w:ascii="Arial" w:eastAsia="Times New Roman" w:hAnsi="Arial" w:cs="Arial"/>
            <w:color w:val="642A8F"/>
            <w:sz w:val="17"/>
            <w:szCs w:val="17"/>
            <w:u w:val="single"/>
          </w:rPr>
          <w:t>Author information ►</w:t>
        </w:r>
      </w:hyperlink>
      <w:r w:rsidRPr="00A0258B">
        <w:rPr>
          <w:rFonts w:ascii="Arial" w:eastAsia="Times New Roman" w:hAnsi="Arial" w:cs="Arial"/>
          <w:color w:val="000000"/>
          <w:sz w:val="17"/>
          <w:szCs w:val="17"/>
        </w:rPr>
        <w:t> </w:t>
      </w:r>
      <w:hyperlink r:id="rId14" w:history="1">
        <w:r w:rsidRPr="00A0258B">
          <w:rPr>
            <w:rFonts w:ascii="Arial" w:eastAsia="Times New Roman" w:hAnsi="Arial" w:cs="Arial"/>
            <w:color w:val="642A8F"/>
            <w:sz w:val="17"/>
            <w:szCs w:val="17"/>
            <w:u w:val="single"/>
          </w:rPr>
          <w:t>Copyright and License information ►</w:t>
        </w:r>
      </w:hyperlink>
      <w:r w:rsidRPr="00A0258B">
        <w:rPr>
          <w:rFonts w:ascii="Arial" w:eastAsia="Times New Roman" w:hAnsi="Arial" w:cs="Arial"/>
          <w:color w:val="000000"/>
          <w:sz w:val="17"/>
          <w:szCs w:val="17"/>
        </w:rPr>
        <w:t> </w:t>
      </w:r>
      <w:hyperlink r:id="rId15" w:history="1">
        <w:r w:rsidRPr="00A0258B">
          <w:rPr>
            <w:rFonts w:ascii="Arial" w:eastAsia="Times New Roman" w:hAnsi="Arial" w:cs="Arial"/>
            <w:color w:val="642A8F"/>
            <w:sz w:val="17"/>
            <w:szCs w:val="17"/>
            <w:u w:val="single"/>
          </w:rPr>
          <w:t>Disclaimer</w:t>
        </w:r>
      </w:hyperlink>
    </w:p>
    <w:p w:rsidR="00A0258B" w:rsidRPr="00A0258B" w:rsidRDefault="00A0258B" w:rsidP="00A0258B">
      <w:pPr>
        <w:shd w:val="clear" w:color="auto" w:fill="FFF4CE"/>
        <w:spacing w:after="0" w:line="393" w:lineRule="atLeast"/>
        <w:rPr>
          <w:rFonts w:ascii="Arial" w:eastAsia="Times New Roman" w:hAnsi="Arial" w:cs="Arial"/>
          <w:color w:val="000000"/>
          <w:sz w:val="17"/>
          <w:szCs w:val="17"/>
        </w:rPr>
      </w:pPr>
      <w:r w:rsidRPr="00A0258B">
        <w:rPr>
          <w:rFonts w:ascii="Arial" w:eastAsia="Times New Roman" w:hAnsi="Arial" w:cs="Arial"/>
          <w:color w:val="000000"/>
          <w:sz w:val="17"/>
          <w:szCs w:val="17"/>
        </w:rPr>
        <w:t>The publisher's final edited version of this article is available at </w:t>
      </w:r>
      <w:hyperlink r:id="rId16" w:tgtFrame="pmc_ext" w:history="1">
        <w:r w:rsidRPr="00A0258B">
          <w:rPr>
            <w:rFonts w:ascii="Arial" w:eastAsia="Times New Roman" w:hAnsi="Arial" w:cs="Arial"/>
            <w:color w:val="642A8F"/>
            <w:sz w:val="17"/>
            <w:szCs w:val="17"/>
            <w:u w:val="single"/>
          </w:rPr>
          <w:t>Connect Tissue Res</w:t>
        </w:r>
      </w:hyperlink>
    </w:p>
    <w:p w:rsidR="00A0258B" w:rsidRPr="00A0258B" w:rsidRDefault="00A0258B" w:rsidP="00A0258B">
      <w:pPr>
        <w:shd w:val="clear" w:color="auto" w:fill="FFF4CE"/>
        <w:spacing w:line="393" w:lineRule="atLeast"/>
        <w:rPr>
          <w:rFonts w:ascii="Arial" w:eastAsia="Times New Roman" w:hAnsi="Arial" w:cs="Arial"/>
          <w:color w:val="000000"/>
          <w:sz w:val="17"/>
          <w:szCs w:val="17"/>
        </w:rPr>
      </w:pPr>
      <w:r w:rsidRPr="00A0258B">
        <w:rPr>
          <w:rFonts w:ascii="Arial" w:eastAsia="Times New Roman" w:hAnsi="Arial" w:cs="Arial"/>
          <w:color w:val="000000"/>
          <w:sz w:val="17"/>
          <w:szCs w:val="17"/>
        </w:rPr>
        <w:t>See other articles in PMC that </w:t>
      </w:r>
      <w:hyperlink r:id="rId17" w:history="1">
        <w:r w:rsidRPr="00A0258B">
          <w:rPr>
            <w:rFonts w:ascii="Arial" w:eastAsia="Times New Roman" w:hAnsi="Arial" w:cs="Arial"/>
            <w:color w:val="642A8F"/>
            <w:sz w:val="17"/>
            <w:szCs w:val="17"/>
            <w:u w:val="single"/>
          </w:rPr>
          <w:t>cite</w:t>
        </w:r>
      </w:hyperlink>
      <w:r w:rsidRPr="00A0258B">
        <w:rPr>
          <w:rFonts w:ascii="Arial" w:eastAsia="Times New Roman" w:hAnsi="Arial" w:cs="Arial"/>
          <w:color w:val="000000"/>
          <w:sz w:val="17"/>
          <w:szCs w:val="17"/>
        </w:rPr>
        <w:t> the published article.</w:t>
      </w:r>
    </w:p>
    <w:p w:rsidR="00A0258B" w:rsidRPr="00A0258B" w:rsidRDefault="00A0258B" w:rsidP="00A0258B">
      <w:pPr>
        <w:shd w:val="clear" w:color="auto" w:fill="FFFFFF"/>
        <w:spacing w:after="0" w:line="240" w:lineRule="auto"/>
        <w:jc w:val="right"/>
        <w:rPr>
          <w:rFonts w:ascii="Arial" w:eastAsia="Times New Roman" w:hAnsi="Arial" w:cs="Arial"/>
          <w:vanish/>
          <w:color w:val="000000"/>
          <w:sz w:val="25"/>
          <w:szCs w:val="25"/>
          <w:lang w:val="en"/>
        </w:rPr>
      </w:pPr>
      <w:hyperlink r:id="rId18" w:tooltip="Go to other sections in this page" w:history="1">
        <w:r w:rsidRPr="00A0258B">
          <w:rPr>
            <w:rFonts w:ascii="Arial" w:eastAsia="Times New Roman" w:hAnsi="Arial" w:cs="Arial"/>
            <w:vanish/>
            <w:color w:val="642A8F"/>
            <w:sz w:val="25"/>
            <w:szCs w:val="25"/>
            <w:u w:val="single"/>
            <w:lang w:val="en"/>
          </w:rPr>
          <w:t>Go to:</w:t>
        </w:r>
      </w:hyperlink>
    </w:p>
    <w:p w:rsidR="00A0258B" w:rsidRPr="00A0258B" w:rsidRDefault="00A0258B" w:rsidP="00A0258B">
      <w:pPr>
        <w:shd w:val="clear" w:color="auto" w:fill="FFFFFF"/>
        <w:spacing w:after="0" w:line="240" w:lineRule="auto"/>
        <w:jc w:val="right"/>
        <w:rPr>
          <w:rFonts w:ascii="Arial" w:eastAsia="Times New Roman" w:hAnsi="Arial" w:cs="Arial"/>
          <w:vanish/>
          <w:color w:val="000000"/>
          <w:sz w:val="25"/>
          <w:szCs w:val="25"/>
          <w:lang w:val="en"/>
        </w:rPr>
      </w:pPr>
      <w:hyperlink r:id="rId19" w:tooltip="Go to other sections in this page" w:history="1">
        <w:r w:rsidRPr="00A0258B">
          <w:rPr>
            <w:rFonts w:ascii="Arial" w:eastAsia="Times New Roman" w:hAnsi="Arial" w:cs="Arial"/>
            <w:vanish/>
            <w:color w:val="642A8F"/>
            <w:sz w:val="25"/>
            <w:szCs w:val="25"/>
            <w:u w:val="single"/>
            <w:lang w:val="en"/>
          </w:rPr>
          <w:t>Go to:</w:t>
        </w:r>
      </w:hyperlink>
    </w:p>
    <w:p w:rsidR="00A0258B" w:rsidRPr="00A0258B" w:rsidRDefault="00A0258B" w:rsidP="00A0258B">
      <w:pPr>
        <w:pBdr>
          <w:bottom w:val="single" w:sz="6" w:space="0" w:color="97B0C8"/>
        </w:pBdr>
        <w:shd w:val="clear" w:color="auto" w:fill="FFFFFF"/>
        <w:spacing w:before="270" w:after="0" w:line="267" w:lineRule="atLeast"/>
        <w:outlineLvl w:val="1"/>
        <w:rPr>
          <w:rFonts w:ascii="Arial" w:eastAsia="Times New Roman" w:hAnsi="Arial" w:cs="Arial"/>
          <w:color w:val="985735"/>
          <w:sz w:val="28"/>
          <w:szCs w:val="28"/>
          <w:lang w:val="en"/>
        </w:rPr>
      </w:pPr>
      <w:r w:rsidRPr="00A0258B">
        <w:rPr>
          <w:rFonts w:ascii="Arial" w:eastAsia="Times New Roman" w:hAnsi="Arial" w:cs="Arial"/>
          <w:color w:val="985735"/>
          <w:sz w:val="28"/>
          <w:szCs w:val="28"/>
          <w:lang w:val="en"/>
        </w:rPr>
        <w:t>Abstract</w:t>
      </w:r>
    </w:p>
    <w:p w:rsidR="00A0258B" w:rsidRPr="00A0258B" w:rsidRDefault="00A0258B" w:rsidP="00A0258B">
      <w:pPr>
        <w:shd w:val="clear" w:color="auto" w:fill="FFFFFF"/>
        <w:spacing w:before="166" w:after="166" w:line="240" w:lineRule="auto"/>
        <w:rPr>
          <w:rFonts w:ascii="Times New Roman" w:eastAsia="Times New Roman" w:hAnsi="Times New Roman" w:cs="Times New Roman"/>
          <w:vanish/>
          <w:color w:val="000000"/>
          <w:sz w:val="25"/>
          <w:szCs w:val="25"/>
          <w:lang w:val="en"/>
        </w:rPr>
      </w:pPr>
      <w:r w:rsidRPr="00A0258B">
        <w:rPr>
          <w:rFonts w:ascii="Times New Roman" w:eastAsia="Times New Roman" w:hAnsi="Times New Roman" w:cs="Times New Roman"/>
          <w:vanish/>
          <w:color w:val="000000"/>
          <w:sz w:val="25"/>
          <w:szCs w:val="25"/>
          <w:lang w:val="en"/>
        </w:rPr>
        <w:t>Buckminsterfullerene C</w:t>
      </w:r>
      <w:r w:rsidRPr="00A0258B">
        <w:rPr>
          <w:rFonts w:ascii="Times New Roman" w:eastAsia="Times New Roman" w:hAnsi="Times New Roman" w:cs="Times New Roman"/>
          <w:vanish/>
          <w:color w:val="000000"/>
          <w:sz w:val="21"/>
          <w:szCs w:val="21"/>
          <w:vertAlign w:val="subscript"/>
          <w:lang w:val="en"/>
        </w:rPr>
        <w:t>60</w:t>
      </w:r>
      <w:r w:rsidRPr="00A0258B">
        <w:rPr>
          <w:rFonts w:ascii="Times New Roman" w:eastAsia="Times New Roman" w:hAnsi="Times New Roman" w:cs="Times New Roman"/>
          <w:vanish/>
          <w:color w:val="000000"/>
          <w:sz w:val="25"/>
          <w:szCs w:val="25"/>
          <w:lang w:val="en"/>
        </w:rPr>
        <w:t> and derivatives have been extensively explored in biomedical research due to their unique structure and unparalleled physicochemical properties. C</w:t>
      </w:r>
      <w:r w:rsidRPr="00A0258B">
        <w:rPr>
          <w:rFonts w:ascii="Times New Roman" w:eastAsia="Times New Roman" w:hAnsi="Times New Roman" w:cs="Times New Roman"/>
          <w:vanish/>
          <w:color w:val="000000"/>
          <w:sz w:val="21"/>
          <w:szCs w:val="21"/>
          <w:vertAlign w:val="subscript"/>
          <w:lang w:val="en"/>
        </w:rPr>
        <w:t>60</w:t>
      </w:r>
      <w:r w:rsidRPr="00A0258B">
        <w:rPr>
          <w:rFonts w:ascii="Times New Roman" w:eastAsia="Times New Roman" w:hAnsi="Times New Roman" w:cs="Times New Roman"/>
          <w:vanish/>
          <w:color w:val="000000"/>
          <w:sz w:val="25"/>
          <w:szCs w:val="25"/>
          <w:lang w:val="en"/>
        </w:rPr>
        <w:t> is characterized as a “free radical sponge” with an anti-oxidant efficacy several hundred-fold higher than conventional anti-oxidants. Also, the C</w:t>
      </w:r>
      <w:r w:rsidRPr="00A0258B">
        <w:rPr>
          <w:rFonts w:ascii="Times New Roman" w:eastAsia="Times New Roman" w:hAnsi="Times New Roman" w:cs="Times New Roman"/>
          <w:vanish/>
          <w:color w:val="000000"/>
          <w:sz w:val="21"/>
          <w:szCs w:val="21"/>
          <w:vertAlign w:val="subscript"/>
          <w:lang w:val="en"/>
        </w:rPr>
        <w:t>60</w:t>
      </w:r>
      <w:r w:rsidRPr="00A0258B">
        <w:rPr>
          <w:rFonts w:ascii="Times New Roman" w:eastAsia="Times New Roman" w:hAnsi="Times New Roman" w:cs="Times New Roman"/>
          <w:vanish/>
          <w:color w:val="000000"/>
          <w:sz w:val="25"/>
          <w:szCs w:val="25"/>
          <w:lang w:val="en"/>
        </w:rPr>
        <w:t> core has a strong electron-attracting ability and numerous functional compounds with widely different properties can be added to this fullerene cage. This review focused on the applications of C</w:t>
      </w:r>
      <w:r w:rsidRPr="00A0258B">
        <w:rPr>
          <w:rFonts w:ascii="Times New Roman" w:eastAsia="Times New Roman" w:hAnsi="Times New Roman" w:cs="Times New Roman"/>
          <w:vanish/>
          <w:color w:val="000000"/>
          <w:sz w:val="21"/>
          <w:szCs w:val="21"/>
          <w:vertAlign w:val="subscript"/>
          <w:lang w:val="en"/>
        </w:rPr>
        <w:t>60</w:t>
      </w:r>
      <w:r w:rsidRPr="00A0258B">
        <w:rPr>
          <w:rFonts w:ascii="Times New Roman" w:eastAsia="Times New Roman" w:hAnsi="Times New Roman" w:cs="Times New Roman"/>
          <w:vanish/>
          <w:color w:val="000000"/>
          <w:sz w:val="25"/>
          <w:szCs w:val="25"/>
          <w:lang w:val="en"/>
        </w:rPr>
        <w:t> and derivatives in orthopaedic research, such as the treatment of cartilage degeneration, bone destruction, intervertebral disc degeneration (IVDD), vertebral bone marrow disorder, radiculopathy, etc., as well as their toxicity </w:t>
      </w:r>
      <w:r w:rsidRPr="00A0258B">
        <w:rPr>
          <w:rFonts w:ascii="Times New Roman" w:eastAsia="Times New Roman" w:hAnsi="Times New Roman" w:cs="Times New Roman"/>
          <w:i/>
          <w:iCs/>
          <w:vanish/>
          <w:color w:val="000000"/>
          <w:sz w:val="25"/>
          <w:szCs w:val="25"/>
          <w:lang w:val="en"/>
        </w:rPr>
        <w:t>in vitro</w:t>
      </w:r>
      <w:r w:rsidRPr="00A0258B">
        <w:rPr>
          <w:rFonts w:ascii="Times New Roman" w:eastAsia="Times New Roman" w:hAnsi="Times New Roman" w:cs="Times New Roman"/>
          <w:vanish/>
          <w:color w:val="000000"/>
          <w:sz w:val="25"/>
          <w:szCs w:val="25"/>
          <w:lang w:val="en"/>
        </w:rPr>
        <w:t> and </w:t>
      </w:r>
      <w:r w:rsidRPr="00A0258B">
        <w:rPr>
          <w:rFonts w:ascii="Times New Roman" w:eastAsia="Times New Roman" w:hAnsi="Times New Roman" w:cs="Times New Roman"/>
          <w:i/>
          <w:iCs/>
          <w:vanish/>
          <w:color w:val="000000"/>
          <w:sz w:val="25"/>
          <w:szCs w:val="25"/>
          <w:lang w:val="en"/>
        </w:rPr>
        <w:t>in vivo</w:t>
      </w:r>
      <w:r w:rsidRPr="00A0258B">
        <w:rPr>
          <w:rFonts w:ascii="Times New Roman" w:eastAsia="Times New Roman" w:hAnsi="Times New Roman" w:cs="Times New Roman"/>
          <w:vanish/>
          <w:color w:val="000000"/>
          <w:sz w:val="25"/>
          <w:szCs w:val="25"/>
          <w:lang w:val="en"/>
        </w:rPr>
        <w:t>. We suggest that C</w:t>
      </w:r>
      <w:r w:rsidRPr="00A0258B">
        <w:rPr>
          <w:rFonts w:ascii="Times New Roman" w:eastAsia="Times New Roman" w:hAnsi="Times New Roman" w:cs="Times New Roman"/>
          <w:vanish/>
          <w:color w:val="000000"/>
          <w:sz w:val="21"/>
          <w:szCs w:val="21"/>
          <w:vertAlign w:val="subscript"/>
          <w:lang w:val="en"/>
        </w:rPr>
        <w:t>60</w:t>
      </w:r>
      <w:r w:rsidRPr="00A0258B">
        <w:rPr>
          <w:rFonts w:ascii="Times New Roman" w:eastAsia="Times New Roman" w:hAnsi="Times New Roman" w:cs="Times New Roman"/>
          <w:vanish/>
          <w:color w:val="000000"/>
          <w:sz w:val="25"/>
          <w:szCs w:val="25"/>
          <w:lang w:val="en"/>
        </w:rPr>
        <w:t> and derivatives, especially the C</w:t>
      </w:r>
      <w:r w:rsidRPr="00A0258B">
        <w:rPr>
          <w:rFonts w:ascii="Times New Roman" w:eastAsia="Times New Roman" w:hAnsi="Times New Roman" w:cs="Times New Roman"/>
          <w:vanish/>
          <w:color w:val="000000"/>
          <w:sz w:val="21"/>
          <w:szCs w:val="21"/>
          <w:vertAlign w:val="subscript"/>
          <w:lang w:val="en"/>
        </w:rPr>
        <w:t>60</w:t>
      </w:r>
      <w:r w:rsidRPr="00A0258B">
        <w:rPr>
          <w:rFonts w:ascii="Times New Roman" w:eastAsia="Times New Roman" w:hAnsi="Times New Roman" w:cs="Times New Roman"/>
          <w:vanish/>
          <w:color w:val="000000"/>
          <w:sz w:val="25"/>
          <w:szCs w:val="25"/>
          <w:lang w:val="en"/>
        </w:rPr>
        <w:t> cores coupled with functional groups presenting new biological and pharmacological activities, are advantageous in orthopaedic research and will be promising in clinical performance for musculoskeletal disorders treatment; however, the pharmacokinetics and toxicology of these agents as local/systemic administration need to be carefully determined.</w:t>
      </w:r>
    </w:p>
    <w:p w:rsidR="00A0258B" w:rsidRPr="00A0258B" w:rsidRDefault="00A0258B" w:rsidP="00A0258B">
      <w:pPr>
        <w:shd w:val="clear" w:color="auto" w:fill="FFFFFF"/>
        <w:spacing w:after="0" w:line="240" w:lineRule="auto"/>
        <w:rPr>
          <w:rFonts w:ascii="Times New Roman" w:eastAsia="Times New Roman" w:hAnsi="Times New Roman" w:cs="Times New Roman"/>
          <w:vanish/>
          <w:color w:val="000000"/>
          <w:sz w:val="25"/>
          <w:szCs w:val="25"/>
          <w:lang w:val="en"/>
        </w:rPr>
      </w:pPr>
      <w:r w:rsidRPr="00A0258B">
        <w:rPr>
          <w:rFonts w:ascii="Times New Roman" w:eastAsia="Times New Roman" w:hAnsi="Times New Roman" w:cs="Times New Roman"/>
          <w:b/>
          <w:bCs/>
          <w:vanish/>
          <w:color w:val="000000"/>
          <w:sz w:val="25"/>
          <w:szCs w:val="25"/>
          <w:lang w:val="en"/>
        </w:rPr>
        <w:t>Keywords: </w:t>
      </w:r>
      <w:r w:rsidRPr="00A0258B">
        <w:rPr>
          <w:rFonts w:ascii="Times New Roman" w:eastAsia="Times New Roman" w:hAnsi="Times New Roman" w:cs="Times New Roman"/>
          <w:vanish/>
          <w:color w:val="000000"/>
          <w:sz w:val="25"/>
          <w:szCs w:val="25"/>
          <w:lang w:val="en"/>
        </w:rPr>
        <w:t>Anti-oxidant, double-action compound, fullerene, orthopaedic applications, reactive oxygen species</w:t>
      </w:r>
    </w:p>
    <w:p w:rsidR="00A0258B" w:rsidRPr="00A0258B" w:rsidRDefault="00A0258B" w:rsidP="00A0258B">
      <w:pPr>
        <w:shd w:val="clear" w:color="auto" w:fill="FFFFFF"/>
        <w:spacing w:after="0" w:line="240" w:lineRule="auto"/>
        <w:jc w:val="right"/>
        <w:rPr>
          <w:rFonts w:ascii="Arial" w:eastAsia="Times New Roman" w:hAnsi="Arial" w:cs="Arial"/>
          <w:color w:val="000000"/>
          <w:sz w:val="25"/>
          <w:szCs w:val="25"/>
        </w:rPr>
      </w:pPr>
      <w:hyperlink r:id="rId20" w:tooltip="Go to other sections in this page" w:history="1">
        <w:r w:rsidRPr="00A0258B">
          <w:rPr>
            <w:rFonts w:ascii="Arial" w:eastAsia="Times New Roman" w:hAnsi="Arial" w:cs="Arial"/>
            <w:color w:val="642A8F"/>
            <w:sz w:val="25"/>
            <w:szCs w:val="25"/>
            <w:u w:val="single"/>
          </w:rPr>
          <w:t>Go to:</w:t>
        </w:r>
      </w:hyperlink>
    </w:p>
    <w:p w:rsidR="00A0258B" w:rsidRPr="00A0258B" w:rsidRDefault="00A0258B" w:rsidP="00A0258B">
      <w:pPr>
        <w:shd w:val="clear" w:color="auto" w:fill="FFFFFF"/>
        <w:spacing w:after="0" w:line="240" w:lineRule="auto"/>
        <w:jc w:val="right"/>
        <w:rPr>
          <w:rFonts w:ascii="Arial" w:eastAsia="Times New Roman" w:hAnsi="Arial" w:cs="Arial"/>
          <w:color w:val="000000"/>
          <w:sz w:val="25"/>
          <w:szCs w:val="25"/>
        </w:rPr>
      </w:pPr>
      <w:hyperlink r:id="rId21" w:tooltip="Go to other sections in this page" w:history="1">
        <w:r w:rsidRPr="00A0258B">
          <w:rPr>
            <w:rFonts w:ascii="Arial" w:eastAsia="Times New Roman" w:hAnsi="Arial" w:cs="Arial"/>
            <w:color w:val="642A8F"/>
            <w:sz w:val="25"/>
            <w:szCs w:val="25"/>
            <w:u w:val="single"/>
          </w:rPr>
          <w:t>Go to:</w:t>
        </w:r>
      </w:hyperlink>
    </w:p>
    <w:p w:rsidR="00A0258B" w:rsidRPr="00A0258B" w:rsidRDefault="00A0258B" w:rsidP="00A0258B">
      <w:pPr>
        <w:pBdr>
          <w:bottom w:val="single" w:sz="6" w:space="0" w:color="97B0C8"/>
        </w:pBdr>
        <w:shd w:val="clear" w:color="auto" w:fill="FFFFFF"/>
        <w:spacing w:before="270" w:after="0" w:line="267" w:lineRule="atLeast"/>
        <w:outlineLvl w:val="1"/>
        <w:rPr>
          <w:rFonts w:ascii="Arial" w:eastAsia="Times New Roman" w:hAnsi="Arial" w:cs="Arial"/>
          <w:color w:val="985735"/>
          <w:sz w:val="28"/>
          <w:szCs w:val="28"/>
        </w:rPr>
      </w:pPr>
      <w:r w:rsidRPr="00A0258B">
        <w:rPr>
          <w:rFonts w:ascii="Arial" w:eastAsia="Times New Roman" w:hAnsi="Arial" w:cs="Arial"/>
          <w:color w:val="985735"/>
          <w:sz w:val="28"/>
          <w:szCs w:val="28"/>
        </w:rPr>
        <w:t>Introduction</w:t>
      </w:r>
    </w:p>
    <w:p w:rsidR="00A0258B" w:rsidRPr="00A0258B" w:rsidRDefault="00A0258B" w:rsidP="00A0258B">
      <w:pPr>
        <w:shd w:val="clear" w:color="auto" w:fill="FFFFFF"/>
        <w:spacing w:before="166" w:after="166"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Fullerenes (</w:t>
      </w:r>
      <w:r w:rsidRPr="00A0258B">
        <w:rPr>
          <w:rFonts w:ascii="Times New Roman" w:eastAsia="Times New Roman" w:hAnsi="Times New Roman" w:cs="Times New Roman"/>
          <w:i/>
          <w:iCs/>
          <w:color w:val="000000"/>
          <w:sz w:val="25"/>
          <w:szCs w:val="25"/>
        </w:rPr>
        <w:t>C</w:t>
      </w:r>
      <w:r w:rsidRPr="00A0258B">
        <w:rPr>
          <w:rFonts w:ascii="Times New Roman" w:eastAsia="Times New Roman" w:hAnsi="Times New Roman" w:cs="Times New Roman"/>
          <w:i/>
          <w:iCs/>
          <w:color w:val="000000"/>
          <w:sz w:val="21"/>
          <w:szCs w:val="21"/>
          <w:vertAlign w:val="subscript"/>
        </w:rPr>
        <w:t>x</w:t>
      </w:r>
      <w:r w:rsidRPr="00A0258B">
        <w:rPr>
          <w:rFonts w:ascii="Times New Roman" w:eastAsia="Times New Roman" w:hAnsi="Times New Roman" w:cs="Times New Roman"/>
          <w:color w:val="000000"/>
          <w:sz w:val="25"/>
          <w:szCs w:val="25"/>
        </w:rPr>
        <w:t>), the third carbon allotrope, are similar in structure to graphene but rolled up to form hollow spheres with closed structure (</w:t>
      </w:r>
      <w:hyperlink r:id="rId22" w:anchor="R1" w:history="1">
        <w:r w:rsidRPr="00A0258B">
          <w:rPr>
            <w:rFonts w:ascii="Times New Roman" w:eastAsia="Times New Roman" w:hAnsi="Times New Roman" w:cs="Times New Roman"/>
            <w:color w:val="642A8F"/>
            <w:sz w:val="25"/>
            <w:szCs w:val="25"/>
            <w:u w:val="single"/>
          </w:rPr>
          <w:t>1</w:t>
        </w:r>
      </w:hyperlink>
      <w:r w:rsidRPr="00A0258B">
        <w:rPr>
          <w:rFonts w:ascii="Times New Roman" w:eastAsia="Times New Roman" w:hAnsi="Times New Roman" w:cs="Times New Roman"/>
          <w:color w:val="000000"/>
          <w:sz w:val="25"/>
          <w:szCs w:val="25"/>
        </w:rPr>
        <w:t>). In fullerene family, buckminsterfullerene C</w:t>
      </w:r>
      <w:r w:rsidRPr="00A0258B">
        <w:rPr>
          <w:rFonts w:ascii="Times New Roman" w:eastAsia="Times New Roman" w:hAnsi="Times New Roman" w:cs="Times New Roman"/>
          <w:color w:val="000000"/>
          <w:sz w:val="21"/>
          <w:szCs w:val="21"/>
          <w:vertAlign w:val="subscript"/>
        </w:rPr>
        <w:t>60</w:t>
      </w:r>
      <w:r w:rsidRPr="00A0258B">
        <w:rPr>
          <w:rFonts w:ascii="Times New Roman" w:eastAsia="Times New Roman" w:hAnsi="Times New Roman" w:cs="Times New Roman"/>
          <w:color w:val="000000"/>
          <w:sz w:val="25"/>
          <w:szCs w:val="25"/>
        </w:rPr>
        <w:t> is the most abundant representative which was first discovered by Kroto et al. in 1985 through graphite vaporization under laser irradiation (</w:t>
      </w:r>
      <w:hyperlink r:id="rId23" w:anchor="R2" w:history="1">
        <w:r w:rsidRPr="00A0258B">
          <w:rPr>
            <w:rFonts w:ascii="Times New Roman" w:eastAsia="Times New Roman" w:hAnsi="Times New Roman" w:cs="Times New Roman"/>
            <w:color w:val="642A8F"/>
            <w:sz w:val="25"/>
            <w:szCs w:val="25"/>
            <w:u w:val="single"/>
          </w:rPr>
          <w:t>2</w:t>
        </w:r>
      </w:hyperlink>
      <w:r w:rsidRPr="00A0258B">
        <w:rPr>
          <w:rFonts w:ascii="Times New Roman" w:eastAsia="Times New Roman" w:hAnsi="Times New Roman" w:cs="Times New Roman"/>
          <w:color w:val="000000"/>
          <w:sz w:val="25"/>
          <w:szCs w:val="25"/>
        </w:rPr>
        <w:t>). Since its detection and bulk production, C</w:t>
      </w:r>
      <w:r w:rsidRPr="00A0258B">
        <w:rPr>
          <w:rFonts w:ascii="Times New Roman" w:eastAsia="Times New Roman" w:hAnsi="Times New Roman" w:cs="Times New Roman"/>
          <w:color w:val="000000"/>
          <w:sz w:val="21"/>
          <w:szCs w:val="21"/>
          <w:vertAlign w:val="subscript"/>
        </w:rPr>
        <w:t>60</w:t>
      </w:r>
      <w:r w:rsidRPr="00A0258B">
        <w:rPr>
          <w:rFonts w:ascii="Times New Roman" w:eastAsia="Times New Roman" w:hAnsi="Times New Roman" w:cs="Times New Roman"/>
          <w:color w:val="000000"/>
          <w:sz w:val="25"/>
          <w:szCs w:val="25"/>
        </w:rPr>
        <w:t> has elicited intense interest on scientific scene due to its unique structure and features, which culminated in the 1996 Nobel Prize for Chemistry awarded to Kroto, Curl and Smalley for their seminal discovery. C</w:t>
      </w:r>
      <w:r w:rsidRPr="00A0258B">
        <w:rPr>
          <w:rFonts w:ascii="Times New Roman" w:eastAsia="Times New Roman" w:hAnsi="Times New Roman" w:cs="Times New Roman"/>
          <w:color w:val="000000"/>
          <w:sz w:val="21"/>
          <w:szCs w:val="21"/>
          <w:vertAlign w:val="subscript"/>
        </w:rPr>
        <w:t>60</w:t>
      </w:r>
      <w:r w:rsidRPr="00A0258B">
        <w:rPr>
          <w:rFonts w:ascii="Times New Roman" w:eastAsia="Times New Roman" w:hAnsi="Times New Roman" w:cs="Times New Roman"/>
          <w:color w:val="000000"/>
          <w:sz w:val="25"/>
          <w:szCs w:val="25"/>
        </w:rPr>
        <w:t> is a remarkably stable compound composed of 60 carbon atoms arranged in a “soccer cage”, with a diameter of 0.72 nm (</w:t>
      </w:r>
      <w:hyperlink r:id="rId24" w:tgtFrame="figure" w:history="1">
        <w:r w:rsidRPr="00A0258B">
          <w:rPr>
            <w:rFonts w:ascii="Times New Roman" w:eastAsia="Times New Roman" w:hAnsi="Times New Roman" w:cs="Times New Roman"/>
            <w:color w:val="642A8F"/>
            <w:sz w:val="25"/>
            <w:szCs w:val="25"/>
            <w:u w:val="single"/>
          </w:rPr>
          <w:t>Figure 1</w:t>
        </w:r>
      </w:hyperlink>
      <w:r w:rsidRPr="00A0258B">
        <w:rPr>
          <w:rFonts w:ascii="Times New Roman" w:eastAsia="Times New Roman" w:hAnsi="Times New Roman" w:cs="Times New Roman"/>
          <w:color w:val="000000"/>
          <w:sz w:val="25"/>
          <w:szCs w:val="25"/>
        </w:rPr>
        <w:t>) (</w:t>
      </w:r>
      <w:hyperlink r:id="rId25" w:anchor="R3" w:history="1">
        <w:r w:rsidRPr="00A0258B">
          <w:rPr>
            <w:rFonts w:ascii="Times New Roman" w:eastAsia="Times New Roman" w:hAnsi="Times New Roman" w:cs="Times New Roman"/>
            <w:color w:val="642A8F"/>
            <w:sz w:val="25"/>
            <w:szCs w:val="25"/>
            <w:u w:val="single"/>
          </w:rPr>
          <w:t>3</w:t>
        </w:r>
      </w:hyperlink>
      <w:r w:rsidRPr="00A0258B">
        <w:rPr>
          <w:rFonts w:ascii="Times New Roman" w:eastAsia="Times New Roman" w:hAnsi="Times New Roman" w:cs="Times New Roman"/>
          <w:color w:val="000000"/>
          <w:sz w:val="25"/>
          <w:szCs w:val="25"/>
        </w:rPr>
        <w:t>). Its highly delocalized π double bond system contributes to an unusual redox chemistry. Thus, C</w:t>
      </w:r>
      <w:r w:rsidRPr="00A0258B">
        <w:rPr>
          <w:rFonts w:ascii="Times New Roman" w:eastAsia="Times New Roman" w:hAnsi="Times New Roman" w:cs="Times New Roman"/>
          <w:color w:val="000000"/>
          <w:sz w:val="21"/>
          <w:szCs w:val="21"/>
          <w:vertAlign w:val="subscript"/>
        </w:rPr>
        <w:t>60</w:t>
      </w:r>
      <w:r w:rsidRPr="00A0258B">
        <w:rPr>
          <w:rFonts w:ascii="Times New Roman" w:eastAsia="Times New Roman" w:hAnsi="Times New Roman" w:cs="Times New Roman"/>
          <w:color w:val="000000"/>
          <w:sz w:val="25"/>
          <w:szCs w:val="25"/>
        </w:rPr>
        <w:t> has been characterized as a “free radical sponge” with an anti-oxidant efficacy several hundred-fold higher than conventional antioxidants (</w:t>
      </w:r>
      <w:hyperlink r:id="rId26" w:anchor="R4" w:history="1">
        <w:r w:rsidRPr="00A0258B">
          <w:rPr>
            <w:rFonts w:ascii="Times New Roman" w:eastAsia="Times New Roman" w:hAnsi="Times New Roman" w:cs="Times New Roman"/>
            <w:color w:val="642A8F"/>
            <w:sz w:val="25"/>
            <w:szCs w:val="25"/>
            <w:u w:val="single"/>
          </w:rPr>
          <w:t>4</w:t>
        </w:r>
      </w:hyperlink>
      <w:r w:rsidRPr="00A0258B">
        <w:rPr>
          <w:rFonts w:ascii="Times New Roman" w:eastAsia="Times New Roman" w:hAnsi="Times New Roman" w:cs="Times New Roman"/>
          <w:color w:val="000000"/>
          <w:sz w:val="25"/>
          <w:szCs w:val="25"/>
        </w:rPr>
        <w:t>). Also, C</w:t>
      </w:r>
      <w:r w:rsidRPr="00A0258B">
        <w:rPr>
          <w:rFonts w:ascii="Times New Roman" w:eastAsia="Times New Roman" w:hAnsi="Times New Roman" w:cs="Times New Roman"/>
          <w:color w:val="000000"/>
          <w:sz w:val="21"/>
          <w:szCs w:val="21"/>
          <w:vertAlign w:val="subscript"/>
        </w:rPr>
        <w:t>60</w:t>
      </w:r>
      <w:r w:rsidRPr="00A0258B">
        <w:rPr>
          <w:rFonts w:ascii="Times New Roman" w:eastAsia="Times New Roman" w:hAnsi="Times New Roman" w:cs="Times New Roman"/>
          <w:color w:val="000000"/>
          <w:sz w:val="25"/>
          <w:szCs w:val="25"/>
        </w:rPr>
        <w:t> consists entirely of sp</w:t>
      </w:r>
      <w:r w:rsidRPr="00A0258B">
        <w:rPr>
          <w:rFonts w:ascii="Times New Roman" w:eastAsia="Times New Roman" w:hAnsi="Times New Roman" w:cs="Times New Roman"/>
          <w:color w:val="000000"/>
          <w:sz w:val="21"/>
          <w:szCs w:val="21"/>
          <w:vertAlign w:val="superscript"/>
        </w:rPr>
        <w:t>2</w:t>
      </w:r>
      <w:r w:rsidRPr="00A0258B">
        <w:rPr>
          <w:rFonts w:ascii="Times New Roman" w:eastAsia="Times New Roman" w:hAnsi="Times New Roman" w:cs="Times New Roman"/>
          <w:color w:val="000000"/>
          <w:sz w:val="25"/>
          <w:szCs w:val="25"/>
        </w:rPr>
        <w:t>-hybridized carbons which render it a strong electron-attracting ability (</w:t>
      </w:r>
      <w:hyperlink r:id="rId27" w:anchor="R5" w:history="1">
        <w:r w:rsidRPr="00A0258B">
          <w:rPr>
            <w:rFonts w:ascii="Times New Roman" w:eastAsia="Times New Roman" w:hAnsi="Times New Roman" w:cs="Times New Roman"/>
            <w:color w:val="642A8F"/>
            <w:sz w:val="25"/>
            <w:szCs w:val="25"/>
            <w:u w:val="single"/>
          </w:rPr>
          <w:t>5</w:t>
        </w:r>
      </w:hyperlink>
      <w:r w:rsidRPr="00A0258B">
        <w:rPr>
          <w:rFonts w:ascii="Times New Roman" w:eastAsia="Times New Roman" w:hAnsi="Times New Roman" w:cs="Times New Roman"/>
          <w:color w:val="000000"/>
          <w:sz w:val="25"/>
          <w:szCs w:val="25"/>
        </w:rPr>
        <w:t>). Therefore, numerous functional compounds with widely different properties can be added to the fullerene cage. For example, the pristine C</w:t>
      </w:r>
      <w:r w:rsidRPr="00A0258B">
        <w:rPr>
          <w:rFonts w:ascii="Times New Roman" w:eastAsia="Times New Roman" w:hAnsi="Times New Roman" w:cs="Times New Roman"/>
          <w:color w:val="000000"/>
          <w:sz w:val="21"/>
          <w:szCs w:val="21"/>
          <w:vertAlign w:val="subscript"/>
        </w:rPr>
        <w:t>60</w:t>
      </w:r>
      <w:r w:rsidRPr="00A0258B">
        <w:rPr>
          <w:rFonts w:ascii="Times New Roman" w:eastAsia="Times New Roman" w:hAnsi="Times New Roman" w:cs="Times New Roman"/>
          <w:color w:val="000000"/>
          <w:sz w:val="25"/>
          <w:szCs w:val="25"/>
        </w:rPr>
        <w:t> is highly hydrophobic. Covalent attachment of hydroxyl (−OH), amino (−NH</w:t>
      </w:r>
      <w:r w:rsidRPr="00A0258B">
        <w:rPr>
          <w:rFonts w:ascii="Times New Roman" w:eastAsia="Times New Roman" w:hAnsi="Times New Roman" w:cs="Times New Roman"/>
          <w:color w:val="000000"/>
          <w:sz w:val="21"/>
          <w:szCs w:val="21"/>
          <w:vertAlign w:val="subscript"/>
        </w:rPr>
        <w:t>2</w:t>
      </w:r>
      <w:r w:rsidRPr="00A0258B">
        <w:rPr>
          <w:rFonts w:ascii="Times New Roman" w:eastAsia="Times New Roman" w:hAnsi="Times New Roman" w:cs="Times New Roman"/>
          <w:color w:val="000000"/>
          <w:sz w:val="25"/>
          <w:szCs w:val="25"/>
        </w:rPr>
        <w:t>) or carboxyl (−COOH) groups, enables it to be water-soluble (</w:t>
      </w:r>
      <w:hyperlink r:id="rId28" w:anchor="R6" w:history="1">
        <w:r w:rsidRPr="00A0258B">
          <w:rPr>
            <w:rFonts w:ascii="Times New Roman" w:eastAsia="Times New Roman" w:hAnsi="Times New Roman" w:cs="Times New Roman"/>
            <w:color w:val="642A8F"/>
            <w:sz w:val="25"/>
            <w:szCs w:val="25"/>
            <w:u w:val="single"/>
          </w:rPr>
          <w:t>6</w:t>
        </w:r>
      </w:hyperlink>
      <w:r w:rsidRPr="00A0258B">
        <w:rPr>
          <w:rFonts w:ascii="Times New Roman" w:eastAsia="Times New Roman" w:hAnsi="Times New Roman" w:cs="Times New Roman"/>
          <w:color w:val="000000"/>
          <w:sz w:val="25"/>
          <w:szCs w:val="25"/>
        </w:rPr>
        <w:t>) and facilitates its in-depth biomedical applications </w:t>
      </w:r>
      <w:r w:rsidRPr="00A0258B">
        <w:rPr>
          <w:rFonts w:ascii="Times New Roman" w:eastAsia="Times New Roman" w:hAnsi="Times New Roman" w:cs="Times New Roman"/>
          <w:i/>
          <w:iCs/>
          <w:color w:val="000000"/>
          <w:sz w:val="25"/>
          <w:szCs w:val="25"/>
        </w:rPr>
        <w:t>in vitro</w:t>
      </w:r>
      <w:r w:rsidRPr="00A0258B">
        <w:rPr>
          <w:rFonts w:ascii="Times New Roman" w:eastAsia="Times New Roman" w:hAnsi="Times New Roman" w:cs="Times New Roman"/>
          <w:color w:val="000000"/>
          <w:sz w:val="25"/>
          <w:szCs w:val="25"/>
        </w:rPr>
        <w:t> and </w:t>
      </w:r>
      <w:r w:rsidRPr="00A0258B">
        <w:rPr>
          <w:rFonts w:ascii="Times New Roman" w:eastAsia="Times New Roman" w:hAnsi="Times New Roman" w:cs="Times New Roman"/>
          <w:i/>
          <w:iCs/>
          <w:color w:val="000000"/>
          <w:sz w:val="25"/>
          <w:szCs w:val="25"/>
        </w:rPr>
        <w:t>in vivo</w:t>
      </w:r>
      <w:r w:rsidRPr="00A0258B">
        <w:rPr>
          <w:rFonts w:ascii="Times New Roman" w:eastAsia="Times New Roman" w:hAnsi="Times New Roman" w:cs="Times New Roman"/>
          <w:color w:val="000000"/>
          <w:sz w:val="25"/>
          <w:szCs w:val="25"/>
        </w:rPr>
        <w:t>. Herein, we will briefly review the unique features of C</w:t>
      </w:r>
      <w:r w:rsidRPr="00A0258B">
        <w:rPr>
          <w:rFonts w:ascii="Times New Roman" w:eastAsia="Times New Roman" w:hAnsi="Times New Roman" w:cs="Times New Roman"/>
          <w:color w:val="000000"/>
          <w:sz w:val="21"/>
          <w:szCs w:val="21"/>
          <w:vertAlign w:val="subscript"/>
        </w:rPr>
        <w:t>60</w:t>
      </w:r>
      <w:r w:rsidRPr="00A0258B">
        <w:rPr>
          <w:rFonts w:ascii="Times New Roman" w:eastAsia="Times New Roman" w:hAnsi="Times New Roman" w:cs="Times New Roman"/>
          <w:color w:val="000000"/>
          <w:sz w:val="25"/>
          <w:szCs w:val="25"/>
        </w:rPr>
        <w:t> and derivatives, as well as the current advances of their biomedical applications, especially in orthopaedic research.</w:t>
      </w:r>
    </w:p>
    <w:p w:rsidR="00A0258B" w:rsidRPr="00A0258B" w:rsidRDefault="00A0258B" w:rsidP="00A0258B">
      <w:pPr>
        <w:shd w:val="clear" w:color="auto" w:fill="FFFCF0"/>
        <w:spacing w:after="0" w:line="240" w:lineRule="auto"/>
        <w:rPr>
          <w:rFonts w:ascii="Times New Roman" w:eastAsia="Times New Roman" w:hAnsi="Times New Roman" w:cs="Times New Roman"/>
          <w:color w:val="642A8F"/>
          <w:sz w:val="24"/>
          <w:szCs w:val="24"/>
          <w:u w:val="single"/>
        </w:rPr>
      </w:pPr>
      <w:r w:rsidRPr="00A0258B">
        <w:rPr>
          <w:rFonts w:ascii="Times New Roman" w:eastAsia="Times New Roman" w:hAnsi="Times New Roman" w:cs="Times New Roman"/>
          <w:color w:val="000000"/>
          <w:sz w:val="25"/>
          <w:szCs w:val="25"/>
        </w:rPr>
        <w:lastRenderedPageBreak/>
        <w:fldChar w:fldCharType="begin"/>
      </w:r>
      <w:r w:rsidRPr="00A0258B">
        <w:rPr>
          <w:rFonts w:ascii="Times New Roman" w:eastAsia="Times New Roman" w:hAnsi="Times New Roman" w:cs="Times New Roman"/>
          <w:color w:val="000000"/>
          <w:sz w:val="25"/>
          <w:szCs w:val="25"/>
        </w:rPr>
        <w:instrText xml:space="preserve"> HYPERLINK "https://www.ncbi.nlm.nih.gov/pmc/articles/PMC4124742/figure/F1/" \t "figure" </w:instrText>
      </w:r>
      <w:r w:rsidRPr="00A0258B">
        <w:rPr>
          <w:rFonts w:ascii="Times New Roman" w:eastAsia="Times New Roman" w:hAnsi="Times New Roman" w:cs="Times New Roman"/>
          <w:color w:val="000000"/>
          <w:sz w:val="25"/>
          <w:szCs w:val="25"/>
        </w:rPr>
        <w:fldChar w:fldCharType="separate"/>
      </w:r>
    </w:p>
    <w:p w:rsidR="00A0258B" w:rsidRPr="00A0258B" w:rsidRDefault="00A0258B" w:rsidP="00A0258B">
      <w:pPr>
        <w:shd w:val="clear" w:color="auto" w:fill="FFFCF0"/>
        <w:spacing w:line="240" w:lineRule="auto"/>
        <w:jc w:val="center"/>
        <w:rPr>
          <w:rFonts w:ascii="Times New Roman" w:eastAsia="Times New Roman" w:hAnsi="Times New Roman" w:cs="Times New Roman"/>
          <w:sz w:val="24"/>
          <w:szCs w:val="24"/>
        </w:rPr>
      </w:pPr>
      <w:r w:rsidRPr="00A0258B">
        <w:rPr>
          <w:rFonts w:ascii="Times New Roman" w:eastAsia="Times New Roman" w:hAnsi="Times New Roman" w:cs="Times New Roman"/>
          <w:noProof/>
          <w:color w:val="642A8F"/>
          <w:sz w:val="25"/>
          <w:szCs w:val="25"/>
        </w:rPr>
        <w:drawing>
          <wp:inline distT="0" distB="0" distL="0" distR="0" wp14:anchorId="23DF0C08" wp14:editId="57F91544">
            <wp:extent cx="5724525" cy="3133725"/>
            <wp:effectExtent l="0" t="0" r="9525" b="9525"/>
            <wp:docPr id="1" name="Picture 1" descr="An external file that holds a picture, illustration, etc.&#10;Object name is nihms608096f1.jpg">
              <a:hlinkClick xmlns:a="http://schemas.openxmlformats.org/drawingml/2006/main" r:id="rId24" tgtFrame="&quot;fig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external file that holds a picture, illustration, etc.&#10;Object name is nihms608096f1.jpg">
                      <a:hlinkClick r:id="rId24" tgtFrame="&quot;figure&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24525" cy="3133725"/>
                    </a:xfrm>
                    <a:prstGeom prst="rect">
                      <a:avLst/>
                    </a:prstGeom>
                    <a:noFill/>
                    <a:ln>
                      <a:noFill/>
                    </a:ln>
                  </pic:spPr>
                </pic:pic>
              </a:graphicData>
            </a:graphic>
          </wp:inline>
        </w:drawing>
      </w:r>
    </w:p>
    <w:p w:rsidR="00A0258B" w:rsidRPr="00A0258B" w:rsidRDefault="00A0258B" w:rsidP="00A0258B">
      <w:pPr>
        <w:shd w:val="clear" w:color="auto" w:fill="FFFCF0"/>
        <w:spacing w:after="0"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fldChar w:fldCharType="end"/>
      </w:r>
    </w:p>
    <w:p w:rsidR="00A0258B" w:rsidRPr="00A0258B" w:rsidRDefault="00A0258B" w:rsidP="00A0258B">
      <w:pPr>
        <w:shd w:val="clear" w:color="auto" w:fill="FFFCF0"/>
        <w:spacing w:after="0" w:line="240" w:lineRule="auto"/>
        <w:textAlignment w:val="top"/>
        <w:rPr>
          <w:rFonts w:ascii="Times New Roman" w:eastAsia="Times New Roman" w:hAnsi="Times New Roman" w:cs="Times New Roman"/>
          <w:color w:val="666666"/>
          <w:sz w:val="23"/>
          <w:szCs w:val="23"/>
        </w:rPr>
      </w:pPr>
      <w:hyperlink r:id="rId30" w:tgtFrame="figure" w:history="1">
        <w:r w:rsidRPr="00A0258B">
          <w:rPr>
            <w:rFonts w:ascii="Times New Roman" w:eastAsia="Times New Roman" w:hAnsi="Times New Roman" w:cs="Times New Roman"/>
            <w:color w:val="642A8F"/>
            <w:sz w:val="23"/>
            <w:szCs w:val="23"/>
            <w:u w:val="single"/>
          </w:rPr>
          <w:t>Figure 1</w:t>
        </w:r>
      </w:hyperlink>
    </w:p>
    <w:p w:rsidR="00A0258B" w:rsidRPr="00A0258B" w:rsidRDefault="00A0258B" w:rsidP="00A0258B">
      <w:pPr>
        <w:shd w:val="clear" w:color="auto" w:fill="FFFCF0"/>
        <w:spacing w:before="166" w:line="240" w:lineRule="auto"/>
        <w:textAlignment w:val="top"/>
        <w:rPr>
          <w:rFonts w:ascii="Times New Roman" w:eastAsia="Times New Roman" w:hAnsi="Times New Roman" w:cs="Times New Roman"/>
          <w:color w:val="666666"/>
          <w:sz w:val="23"/>
          <w:szCs w:val="23"/>
        </w:rPr>
      </w:pPr>
      <w:r w:rsidRPr="00A0258B">
        <w:rPr>
          <w:rFonts w:ascii="Times New Roman" w:eastAsia="Times New Roman" w:hAnsi="Times New Roman" w:cs="Times New Roman"/>
          <w:color w:val="666666"/>
          <w:sz w:val="23"/>
          <w:szCs w:val="23"/>
        </w:rPr>
        <w:t>The structure of buckminsterfullerene C</w:t>
      </w:r>
      <w:r w:rsidRPr="00A0258B">
        <w:rPr>
          <w:rFonts w:ascii="Times New Roman" w:eastAsia="Times New Roman" w:hAnsi="Times New Roman" w:cs="Times New Roman"/>
          <w:color w:val="666666"/>
          <w:sz w:val="20"/>
          <w:szCs w:val="20"/>
          <w:vertAlign w:val="subscript"/>
        </w:rPr>
        <w:t>60</w:t>
      </w:r>
      <w:r w:rsidRPr="00A0258B">
        <w:rPr>
          <w:rFonts w:ascii="Times New Roman" w:eastAsia="Times New Roman" w:hAnsi="Times New Roman" w:cs="Times New Roman"/>
          <w:color w:val="666666"/>
          <w:sz w:val="23"/>
          <w:szCs w:val="23"/>
        </w:rPr>
        <w:t>.</w:t>
      </w:r>
    </w:p>
    <w:p w:rsidR="00A0258B" w:rsidRPr="00A0258B" w:rsidRDefault="00A0258B" w:rsidP="00A0258B">
      <w:pPr>
        <w:shd w:val="clear" w:color="auto" w:fill="FFFFFF"/>
        <w:spacing w:after="0" w:line="240" w:lineRule="auto"/>
        <w:jc w:val="right"/>
        <w:rPr>
          <w:rFonts w:ascii="Arial" w:eastAsia="Times New Roman" w:hAnsi="Arial" w:cs="Arial"/>
          <w:color w:val="000000"/>
          <w:sz w:val="25"/>
          <w:szCs w:val="25"/>
        </w:rPr>
      </w:pPr>
      <w:hyperlink r:id="rId31" w:tooltip="Go to other sections in this page" w:history="1">
        <w:r w:rsidRPr="00A0258B">
          <w:rPr>
            <w:rFonts w:ascii="Arial" w:eastAsia="Times New Roman" w:hAnsi="Arial" w:cs="Arial"/>
            <w:color w:val="642A8F"/>
            <w:sz w:val="25"/>
            <w:szCs w:val="25"/>
            <w:u w:val="single"/>
          </w:rPr>
          <w:t>Go to:</w:t>
        </w:r>
      </w:hyperlink>
    </w:p>
    <w:p w:rsidR="00A0258B" w:rsidRPr="00A0258B" w:rsidRDefault="00A0258B" w:rsidP="00A0258B">
      <w:pPr>
        <w:shd w:val="clear" w:color="auto" w:fill="FFFFFF"/>
        <w:spacing w:after="0" w:line="240" w:lineRule="auto"/>
        <w:jc w:val="right"/>
        <w:rPr>
          <w:rFonts w:ascii="Arial" w:eastAsia="Times New Roman" w:hAnsi="Arial" w:cs="Arial"/>
          <w:color w:val="000000"/>
          <w:sz w:val="25"/>
          <w:szCs w:val="25"/>
        </w:rPr>
      </w:pPr>
      <w:hyperlink r:id="rId32" w:tooltip="Go to other sections in this page" w:history="1">
        <w:r w:rsidRPr="00A0258B">
          <w:rPr>
            <w:rFonts w:ascii="Arial" w:eastAsia="Times New Roman" w:hAnsi="Arial" w:cs="Arial"/>
            <w:color w:val="642A8F"/>
            <w:sz w:val="25"/>
            <w:szCs w:val="25"/>
            <w:u w:val="single"/>
          </w:rPr>
          <w:t>Go to:</w:t>
        </w:r>
      </w:hyperlink>
    </w:p>
    <w:p w:rsidR="00A0258B" w:rsidRPr="00A0258B" w:rsidRDefault="00A0258B" w:rsidP="00A0258B">
      <w:pPr>
        <w:pBdr>
          <w:bottom w:val="single" w:sz="6" w:space="0" w:color="97B0C8"/>
        </w:pBdr>
        <w:shd w:val="clear" w:color="auto" w:fill="FFFFFF"/>
        <w:spacing w:before="270" w:after="0" w:line="267" w:lineRule="atLeast"/>
        <w:outlineLvl w:val="1"/>
        <w:rPr>
          <w:rFonts w:ascii="Arial" w:eastAsia="Times New Roman" w:hAnsi="Arial" w:cs="Arial"/>
          <w:color w:val="985735"/>
          <w:sz w:val="28"/>
          <w:szCs w:val="28"/>
        </w:rPr>
      </w:pPr>
      <w:r w:rsidRPr="00A0258B">
        <w:rPr>
          <w:rFonts w:ascii="Arial" w:eastAsia="Times New Roman" w:hAnsi="Arial" w:cs="Arial"/>
          <w:color w:val="985735"/>
          <w:sz w:val="28"/>
          <w:szCs w:val="28"/>
        </w:rPr>
        <w:t>Oxidative stress in pathology and redox properties of C</w:t>
      </w:r>
      <w:r w:rsidRPr="00A0258B">
        <w:rPr>
          <w:rFonts w:ascii="Arial" w:eastAsia="Times New Roman" w:hAnsi="Arial" w:cs="Arial"/>
          <w:color w:val="985735"/>
          <w:sz w:val="24"/>
          <w:szCs w:val="24"/>
          <w:vertAlign w:val="subscript"/>
        </w:rPr>
        <w:t>60</w:t>
      </w:r>
      <w:r w:rsidRPr="00A0258B">
        <w:rPr>
          <w:rFonts w:ascii="Arial" w:eastAsia="Times New Roman" w:hAnsi="Arial" w:cs="Arial"/>
          <w:color w:val="985735"/>
          <w:sz w:val="28"/>
          <w:szCs w:val="28"/>
        </w:rPr>
        <w:t> and derivatives</w:t>
      </w:r>
    </w:p>
    <w:p w:rsidR="00A0258B" w:rsidRPr="00A0258B" w:rsidRDefault="00A0258B" w:rsidP="00A0258B">
      <w:pPr>
        <w:shd w:val="clear" w:color="auto" w:fill="FFFFFF"/>
        <w:spacing w:before="166" w:after="166"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The endogenous production of reactive oxygen species (ROS), such as superoxide anion, hydroxyl radical and hydrogen peroxide, is a consequence of basal cellular respiration, processed from mitochondrial oxidative phosphorylation (</w:t>
      </w:r>
      <w:hyperlink r:id="rId33" w:anchor="R7" w:history="1">
        <w:r w:rsidRPr="00A0258B">
          <w:rPr>
            <w:rFonts w:ascii="Times New Roman" w:eastAsia="Times New Roman" w:hAnsi="Times New Roman" w:cs="Times New Roman"/>
            <w:color w:val="642A8F"/>
            <w:sz w:val="25"/>
            <w:szCs w:val="25"/>
            <w:u w:val="single"/>
          </w:rPr>
          <w:t>7</w:t>
        </w:r>
      </w:hyperlink>
      <w:r w:rsidRPr="00A0258B">
        <w:rPr>
          <w:rFonts w:ascii="Times New Roman" w:eastAsia="Times New Roman" w:hAnsi="Times New Roman" w:cs="Times New Roman"/>
          <w:color w:val="000000"/>
          <w:sz w:val="25"/>
          <w:szCs w:val="25"/>
        </w:rPr>
        <w:t>). At a moderate level, ROS are recognized to be physically involved in cell signaling and required for biochemical energetics of life. When ROS overwhelm the cellular anti-oxidant defense system, oxidative stress would occur and cause damage to cellular proteins, lipids and nucleic acids (</w:t>
      </w:r>
      <w:hyperlink r:id="rId34" w:anchor="R8" w:history="1">
        <w:r w:rsidRPr="00A0258B">
          <w:rPr>
            <w:rFonts w:ascii="Times New Roman" w:eastAsia="Times New Roman" w:hAnsi="Times New Roman" w:cs="Times New Roman"/>
            <w:color w:val="642A8F"/>
            <w:sz w:val="25"/>
            <w:szCs w:val="25"/>
            <w:u w:val="single"/>
          </w:rPr>
          <w:t>8</w:t>
        </w:r>
      </w:hyperlink>
      <w:r w:rsidRPr="00A0258B">
        <w:rPr>
          <w:rFonts w:ascii="Times New Roman" w:eastAsia="Times New Roman" w:hAnsi="Times New Roman" w:cs="Times New Roman"/>
          <w:color w:val="000000"/>
          <w:sz w:val="25"/>
          <w:szCs w:val="25"/>
        </w:rPr>
        <w:t>), potentially implicated in the pathogenesis of atherosclerosis (</w:t>
      </w:r>
      <w:hyperlink r:id="rId35" w:anchor="R9" w:history="1">
        <w:r w:rsidRPr="00A0258B">
          <w:rPr>
            <w:rFonts w:ascii="Times New Roman" w:eastAsia="Times New Roman" w:hAnsi="Times New Roman" w:cs="Times New Roman"/>
            <w:color w:val="642A8F"/>
            <w:sz w:val="25"/>
            <w:szCs w:val="25"/>
            <w:u w:val="single"/>
          </w:rPr>
          <w:t>9</w:t>
        </w:r>
      </w:hyperlink>
      <w:r w:rsidRPr="00A0258B">
        <w:rPr>
          <w:rFonts w:ascii="Times New Roman" w:eastAsia="Times New Roman" w:hAnsi="Times New Roman" w:cs="Times New Roman"/>
          <w:color w:val="000000"/>
          <w:sz w:val="25"/>
          <w:szCs w:val="25"/>
        </w:rPr>
        <w:t>), neurodegeneration (</w:t>
      </w:r>
      <w:hyperlink r:id="rId36" w:anchor="R10" w:history="1">
        <w:r w:rsidRPr="00A0258B">
          <w:rPr>
            <w:rFonts w:ascii="Times New Roman" w:eastAsia="Times New Roman" w:hAnsi="Times New Roman" w:cs="Times New Roman"/>
            <w:color w:val="642A8F"/>
            <w:sz w:val="25"/>
            <w:szCs w:val="25"/>
            <w:u w:val="single"/>
          </w:rPr>
          <w:t>10</w:t>
        </w:r>
      </w:hyperlink>
      <w:r w:rsidRPr="00A0258B">
        <w:rPr>
          <w:rFonts w:ascii="Times New Roman" w:eastAsia="Times New Roman" w:hAnsi="Times New Roman" w:cs="Times New Roman"/>
          <w:color w:val="000000"/>
          <w:sz w:val="25"/>
          <w:szCs w:val="25"/>
        </w:rPr>
        <w:t>), cancer (</w:t>
      </w:r>
      <w:hyperlink r:id="rId37" w:anchor="R11" w:history="1">
        <w:r w:rsidRPr="00A0258B">
          <w:rPr>
            <w:rFonts w:ascii="Times New Roman" w:eastAsia="Times New Roman" w:hAnsi="Times New Roman" w:cs="Times New Roman"/>
            <w:color w:val="642A8F"/>
            <w:sz w:val="25"/>
            <w:szCs w:val="25"/>
            <w:u w:val="single"/>
          </w:rPr>
          <w:t>11</w:t>
        </w:r>
      </w:hyperlink>
      <w:r w:rsidRPr="00A0258B">
        <w:rPr>
          <w:rFonts w:ascii="Times New Roman" w:eastAsia="Times New Roman" w:hAnsi="Times New Roman" w:cs="Times New Roman"/>
          <w:color w:val="000000"/>
          <w:sz w:val="25"/>
          <w:szCs w:val="25"/>
        </w:rPr>
        <w:t>) and musculoskeletal disorders (</w:t>
      </w:r>
      <w:hyperlink r:id="rId38" w:anchor="R12" w:history="1">
        <w:r w:rsidRPr="00A0258B">
          <w:rPr>
            <w:rFonts w:ascii="Times New Roman" w:eastAsia="Times New Roman" w:hAnsi="Times New Roman" w:cs="Times New Roman"/>
            <w:color w:val="642A8F"/>
            <w:sz w:val="25"/>
            <w:szCs w:val="25"/>
            <w:u w:val="single"/>
          </w:rPr>
          <w:t>12</w:t>
        </w:r>
      </w:hyperlink>
      <w:r w:rsidRPr="00A0258B">
        <w:rPr>
          <w:rFonts w:ascii="Times New Roman" w:eastAsia="Times New Roman" w:hAnsi="Times New Roman" w:cs="Times New Roman"/>
          <w:color w:val="000000"/>
          <w:sz w:val="25"/>
          <w:szCs w:val="25"/>
        </w:rPr>
        <w:t>,</w:t>
      </w:r>
      <w:hyperlink r:id="rId39" w:anchor="R13" w:history="1">
        <w:r w:rsidRPr="00A0258B">
          <w:rPr>
            <w:rFonts w:ascii="Times New Roman" w:eastAsia="Times New Roman" w:hAnsi="Times New Roman" w:cs="Times New Roman"/>
            <w:color w:val="642A8F"/>
            <w:sz w:val="25"/>
            <w:szCs w:val="25"/>
            <w:u w:val="single"/>
          </w:rPr>
          <w:t>13</w:t>
        </w:r>
      </w:hyperlink>
      <w:r w:rsidRPr="00A0258B">
        <w:rPr>
          <w:rFonts w:ascii="Times New Roman" w:eastAsia="Times New Roman" w:hAnsi="Times New Roman" w:cs="Times New Roman"/>
          <w:color w:val="000000"/>
          <w:sz w:val="25"/>
          <w:szCs w:val="25"/>
        </w:rPr>
        <w:t>). Therefore, it is of therapeutic value to relieve the oxidative stress by removing excess ROS with extrinsic anti-oxidants, toward the goal to remedy the stressful pathological conditions.</w:t>
      </w:r>
    </w:p>
    <w:p w:rsidR="00A0258B" w:rsidRPr="00A0258B" w:rsidRDefault="00A0258B" w:rsidP="00A0258B">
      <w:pPr>
        <w:shd w:val="clear" w:color="auto" w:fill="FFFFFF"/>
        <w:spacing w:before="166" w:after="166"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The novel free radical scavenging property of C</w:t>
      </w:r>
      <w:r w:rsidRPr="00A0258B">
        <w:rPr>
          <w:rFonts w:ascii="Times New Roman" w:eastAsia="Times New Roman" w:hAnsi="Times New Roman" w:cs="Times New Roman"/>
          <w:color w:val="000000"/>
          <w:sz w:val="21"/>
          <w:szCs w:val="21"/>
          <w:vertAlign w:val="subscript"/>
        </w:rPr>
        <w:t>60</w:t>
      </w:r>
      <w:r w:rsidRPr="00A0258B">
        <w:rPr>
          <w:rFonts w:ascii="Times New Roman" w:eastAsia="Times New Roman" w:hAnsi="Times New Roman" w:cs="Times New Roman"/>
          <w:color w:val="000000"/>
          <w:sz w:val="25"/>
          <w:szCs w:val="25"/>
        </w:rPr>
        <w:t> is attributed to its unique hollow spherical structure featured with 30 conjugated carbon–carbon double bonds and low lying lowest unoccupied molecular orbital (</w:t>
      </w:r>
      <w:hyperlink r:id="rId40" w:anchor="R14" w:history="1">
        <w:r w:rsidRPr="00A0258B">
          <w:rPr>
            <w:rFonts w:ascii="Times New Roman" w:eastAsia="Times New Roman" w:hAnsi="Times New Roman" w:cs="Times New Roman"/>
            <w:color w:val="642A8F"/>
            <w:sz w:val="25"/>
            <w:szCs w:val="25"/>
            <w:u w:val="single"/>
          </w:rPr>
          <w:t>14</w:t>
        </w:r>
      </w:hyperlink>
      <w:r w:rsidRPr="00A0258B">
        <w:rPr>
          <w:rFonts w:ascii="Times New Roman" w:eastAsia="Times New Roman" w:hAnsi="Times New Roman" w:cs="Times New Roman"/>
          <w:color w:val="000000"/>
          <w:sz w:val="25"/>
          <w:szCs w:val="25"/>
        </w:rPr>
        <w:t>). It was reported that one C</w:t>
      </w:r>
      <w:r w:rsidRPr="00A0258B">
        <w:rPr>
          <w:rFonts w:ascii="Times New Roman" w:eastAsia="Times New Roman" w:hAnsi="Times New Roman" w:cs="Times New Roman"/>
          <w:color w:val="000000"/>
          <w:sz w:val="21"/>
          <w:szCs w:val="21"/>
          <w:vertAlign w:val="subscript"/>
        </w:rPr>
        <w:t>60</w:t>
      </w:r>
      <w:r w:rsidRPr="00A0258B">
        <w:rPr>
          <w:rFonts w:ascii="Times New Roman" w:eastAsia="Times New Roman" w:hAnsi="Times New Roman" w:cs="Times New Roman"/>
          <w:color w:val="000000"/>
          <w:sz w:val="25"/>
          <w:szCs w:val="25"/>
        </w:rPr>
        <w:t> molecule can readily react with at least 15 benzyl radicals or 34 methyl radicals to form stable radical or non-radical adducts (</w:t>
      </w:r>
      <w:hyperlink r:id="rId41" w:anchor="R4" w:history="1">
        <w:r w:rsidRPr="00A0258B">
          <w:rPr>
            <w:rFonts w:ascii="Times New Roman" w:eastAsia="Times New Roman" w:hAnsi="Times New Roman" w:cs="Times New Roman"/>
            <w:color w:val="642A8F"/>
            <w:sz w:val="25"/>
            <w:szCs w:val="25"/>
            <w:u w:val="single"/>
          </w:rPr>
          <w:t>4</w:t>
        </w:r>
      </w:hyperlink>
      <w:r w:rsidRPr="00A0258B">
        <w:rPr>
          <w:rFonts w:ascii="Times New Roman" w:eastAsia="Times New Roman" w:hAnsi="Times New Roman" w:cs="Times New Roman"/>
          <w:color w:val="000000"/>
          <w:sz w:val="25"/>
          <w:szCs w:val="25"/>
        </w:rPr>
        <w:t>). Furthermore, as the quenching process is catalytic, C</w:t>
      </w:r>
      <w:r w:rsidRPr="00A0258B">
        <w:rPr>
          <w:rFonts w:ascii="Times New Roman" w:eastAsia="Times New Roman" w:hAnsi="Times New Roman" w:cs="Times New Roman"/>
          <w:color w:val="000000"/>
          <w:sz w:val="21"/>
          <w:szCs w:val="21"/>
          <w:vertAlign w:val="subscript"/>
        </w:rPr>
        <w:t>60</w:t>
      </w:r>
      <w:r w:rsidRPr="00A0258B">
        <w:rPr>
          <w:rFonts w:ascii="Times New Roman" w:eastAsia="Times New Roman" w:hAnsi="Times New Roman" w:cs="Times New Roman"/>
          <w:color w:val="000000"/>
          <w:sz w:val="25"/>
          <w:szCs w:val="25"/>
        </w:rPr>
        <w:t> can react with many superoxides without being consumed. Thus, C</w:t>
      </w:r>
      <w:r w:rsidRPr="00A0258B">
        <w:rPr>
          <w:rFonts w:ascii="Times New Roman" w:eastAsia="Times New Roman" w:hAnsi="Times New Roman" w:cs="Times New Roman"/>
          <w:color w:val="000000"/>
          <w:sz w:val="21"/>
          <w:szCs w:val="21"/>
          <w:vertAlign w:val="subscript"/>
        </w:rPr>
        <w:t>60</w:t>
      </w:r>
      <w:r w:rsidRPr="00A0258B">
        <w:rPr>
          <w:rFonts w:ascii="Times New Roman" w:eastAsia="Times New Roman" w:hAnsi="Times New Roman" w:cs="Times New Roman"/>
          <w:color w:val="000000"/>
          <w:sz w:val="25"/>
          <w:szCs w:val="25"/>
        </w:rPr>
        <w:t> has been considered as a “free radical sponge” and described to be the most efficient radical scavenger (</w:t>
      </w:r>
      <w:hyperlink r:id="rId42" w:anchor="R4" w:history="1">
        <w:r w:rsidRPr="00A0258B">
          <w:rPr>
            <w:rFonts w:ascii="Times New Roman" w:eastAsia="Times New Roman" w:hAnsi="Times New Roman" w:cs="Times New Roman"/>
            <w:color w:val="642A8F"/>
            <w:sz w:val="25"/>
            <w:szCs w:val="25"/>
            <w:u w:val="single"/>
          </w:rPr>
          <w:t>4</w:t>
        </w:r>
      </w:hyperlink>
      <w:r w:rsidRPr="00A0258B">
        <w:rPr>
          <w:rFonts w:ascii="Times New Roman" w:eastAsia="Times New Roman" w:hAnsi="Times New Roman" w:cs="Times New Roman"/>
          <w:color w:val="000000"/>
          <w:sz w:val="25"/>
          <w:szCs w:val="25"/>
        </w:rPr>
        <w:t>). </w:t>
      </w:r>
      <w:hyperlink r:id="rId43" w:tgtFrame="figure" w:history="1">
        <w:r w:rsidRPr="00A0258B">
          <w:rPr>
            <w:rFonts w:ascii="Times New Roman" w:eastAsia="Times New Roman" w:hAnsi="Times New Roman" w:cs="Times New Roman"/>
            <w:color w:val="642A8F"/>
            <w:sz w:val="25"/>
            <w:szCs w:val="25"/>
            <w:u w:val="single"/>
          </w:rPr>
          <w:t>Figure 2</w:t>
        </w:r>
      </w:hyperlink>
      <w:r w:rsidRPr="00A0258B">
        <w:rPr>
          <w:rFonts w:ascii="Times New Roman" w:eastAsia="Times New Roman" w:hAnsi="Times New Roman" w:cs="Times New Roman"/>
          <w:color w:val="000000"/>
          <w:sz w:val="25"/>
          <w:szCs w:val="25"/>
        </w:rPr>
        <w:t xml:space="preserve"> shows the </w:t>
      </w:r>
      <w:r w:rsidRPr="00A0258B">
        <w:rPr>
          <w:rFonts w:ascii="Times New Roman" w:eastAsia="Times New Roman" w:hAnsi="Times New Roman" w:cs="Times New Roman"/>
          <w:color w:val="000000"/>
          <w:sz w:val="25"/>
          <w:szCs w:val="25"/>
        </w:rPr>
        <w:lastRenderedPageBreak/>
        <w:t>possible mechanisms under which C</w:t>
      </w:r>
      <w:r w:rsidRPr="00A0258B">
        <w:rPr>
          <w:rFonts w:ascii="Times New Roman" w:eastAsia="Times New Roman" w:hAnsi="Times New Roman" w:cs="Times New Roman"/>
          <w:color w:val="000000"/>
          <w:sz w:val="21"/>
          <w:szCs w:val="21"/>
          <w:vertAlign w:val="subscript"/>
        </w:rPr>
        <w:t>60</w:t>
      </w:r>
      <w:r w:rsidRPr="00A0258B">
        <w:rPr>
          <w:rFonts w:ascii="Times New Roman" w:eastAsia="Times New Roman" w:hAnsi="Times New Roman" w:cs="Times New Roman"/>
          <w:color w:val="000000"/>
          <w:sz w:val="25"/>
          <w:szCs w:val="25"/>
        </w:rPr>
        <w:t> acts as an efficient free radical scavenger (</w:t>
      </w:r>
      <w:hyperlink r:id="rId44" w:anchor="R15" w:history="1">
        <w:r w:rsidRPr="00A0258B">
          <w:rPr>
            <w:rFonts w:ascii="Times New Roman" w:eastAsia="Times New Roman" w:hAnsi="Times New Roman" w:cs="Times New Roman"/>
            <w:color w:val="642A8F"/>
            <w:sz w:val="25"/>
            <w:szCs w:val="25"/>
            <w:u w:val="single"/>
          </w:rPr>
          <w:t>15</w:t>
        </w:r>
      </w:hyperlink>
      <w:r w:rsidRPr="00A0258B">
        <w:rPr>
          <w:rFonts w:ascii="Times New Roman" w:eastAsia="Times New Roman" w:hAnsi="Times New Roman" w:cs="Times New Roman"/>
          <w:color w:val="000000"/>
          <w:sz w:val="25"/>
          <w:szCs w:val="25"/>
        </w:rPr>
        <w:t>–</w:t>
      </w:r>
      <w:hyperlink r:id="rId45" w:anchor="R18" w:history="1">
        <w:r w:rsidRPr="00A0258B">
          <w:rPr>
            <w:rFonts w:ascii="Times New Roman" w:eastAsia="Times New Roman" w:hAnsi="Times New Roman" w:cs="Times New Roman"/>
            <w:color w:val="642A8F"/>
            <w:sz w:val="25"/>
            <w:szCs w:val="25"/>
            <w:u w:val="single"/>
          </w:rPr>
          <w:t>18</w:t>
        </w:r>
      </w:hyperlink>
      <w:r w:rsidRPr="00A0258B">
        <w:rPr>
          <w:rFonts w:ascii="Times New Roman" w:eastAsia="Times New Roman" w:hAnsi="Times New Roman" w:cs="Times New Roman"/>
          <w:color w:val="000000"/>
          <w:sz w:val="25"/>
          <w:szCs w:val="25"/>
        </w:rPr>
        <w:t>). To improve its hydrophilicity and increase its versatility, extensive studies have been focusing on the development of water-soluble C</w:t>
      </w:r>
      <w:r w:rsidRPr="00A0258B">
        <w:rPr>
          <w:rFonts w:ascii="Times New Roman" w:eastAsia="Times New Roman" w:hAnsi="Times New Roman" w:cs="Times New Roman"/>
          <w:color w:val="000000"/>
          <w:sz w:val="21"/>
          <w:szCs w:val="21"/>
          <w:vertAlign w:val="subscript"/>
        </w:rPr>
        <w:t>60</w:t>
      </w:r>
      <w:r w:rsidRPr="00A0258B">
        <w:rPr>
          <w:rFonts w:ascii="Times New Roman" w:eastAsia="Times New Roman" w:hAnsi="Times New Roman" w:cs="Times New Roman"/>
          <w:color w:val="000000"/>
          <w:sz w:val="25"/>
          <w:szCs w:val="25"/>
        </w:rPr>
        <w:t> derivatives and the attachment of functional groups presenting new biological and pharmacological activities to the C</w:t>
      </w:r>
      <w:r w:rsidRPr="00A0258B">
        <w:rPr>
          <w:rFonts w:ascii="Times New Roman" w:eastAsia="Times New Roman" w:hAnsi="Times New Roman" w:cs="Times New Roman"/>
          <w:color w:val="000000"/>
          <w:sz w:val="21"/>
          <w:szCs w:val="21"/>
          <w:vertAlign w:val="subscript"/>
        </w:rPr>
        <w:t>60</w:t>
      </w:r>
      <w:r w:rsidRPr="00A0258B">
        <w:rPr>
          <w:rFonts w:ascii="Times New Roman" w:eastAsia="Times New Roman" w:hAnsi="Times New Roman" w:cs="Times New Roman"/>
          <w:color w:val="000000"/>
          <w:sz w:val="25"/>
          <w:szCs w:val="25"/>
        </w:rPr>
        <w:t> anti-oxidant core.</w:t>
      </w:r>
    </w:p>
    <w:p w:rsidR="00A0258B" w:rsidRPr="00A0258B" w:rsidRDefault="00A0258B" w:rsidP="00A0258B">
      <w:pPr>
        <w:shd w:val="clear" w:color="auto" w:fill="FFFCF0"/>
        <w:spacing w:after="0" w:line="240" w:lineRule="auto"/>
        <w:jc w:val="center"/>
        <w:rPr>
          <w:rFonts w:ascii="Times New Roman" w:eastAsia="Times New Roman" w:hAnsi="Times New Roman" w:cs="Times New Roman"/>
          <w:color w:val="642A8F"/>
          <w:sz w:val="24"/>
          <w:szCs w:val="24"/>
          <w:bdr w:val="none" w:sz="0" w:space="0" w:color="auto" w:frame="1"/>
        </w:rPr>
      </w:pPr>
      <w:r w:rsidRPr="00A0258B">
        <w:rPr>
          <w:rFonts w:ascii="Times New Roman" w:eastAsia="Times New Roman" w:hAnsi="Times New Roman" w:cs="Times New Roman"/>
          <w:color w:val="000000"/>
          <w:sz w:val="25"/>
          <w:szCs w:val="25"/>
        </w:rPr>
        <w:fldChar w:fldCharType="begin"/>
      </w:r>
      <w:r w:rsidRPr="00A0258B">
        <w:rPr>
          <w:rFonts w:ascii="Times New Roman" w:eastAsia="Times New Roman" w:hAnsi="Times New Roman" w:cs="Times New Roman"/>
          <w:color w:val="000000"/>
          <w:sz w:val="25"/>
          <w:szCs w:val="25"/>
        </w:rPr>
        <w:instrText xml:space="preserve"> HYPERLINK "https://www.ncbi.nlm.nih.gov/core/lw/2.0/html/tileshop_pmc/tileshop_pmc_inline.html?title=Click%20on%20image%20to%20zoom&amp;p=PMC3&amp;id=4124742_nihms608096f2.jpg" \t "tileshopwindow" </w:instrText>
      </w:r>
      <w:r w:rsidRPr="00A0258B">
        <w:rPr>
          <w:rFonts w:ascii="Times New Roman" w:eastAsia="Times New Roman" w:hAnsi="Times New Roman" w:cs="Times New Roman"/>
          <w:color w:val="000000"/>
          <w:sz w:val="25"/>
          <w:szCs w:val="25"/>
        </w:rPr>
        <w:fldChar w:fldCharType="separate"/>
      </w:r>
    </w:p>
    <w:p w:rsidR="00A0258B" w:rsidRPr="00A0258B" w:rsidRDefault="00A0258B" w:rsidP="00A0258B">
      <w:pPr>
        <w:shd w:val="clear" w:color="auto" w:fill="FFFCF0"/>
        <w:spacing w:line="240" w:lineRule="auto"/>
        <w:jc w:val="center"/>
        <w:rPr>
          <w:rFonts w:ascii="Times New Roman" w:eastAsia="Times New Roman" w:hAnsi="Times New Roman" w:cs="Times New Roman"/>
          <w:color w:val="000000"/>
          <w:sz w:val="24"/>
          <w:szCs w:val="24"/>
        </w:rPr>
      </w:pPr>
      <w:r w:rsidRPr="00A0258B">
        <w:rPr>
          <w:rFonts w:ascii="Times New Roman" w:eastAsia="Times New Roman" w:hAnsi="Times New Roman" w:cs="Times New Roman"/>
          <w:noProof/>
          <w:color w:val="642A8F"/>
          <w:sz w:val="25"/>
          <w:szCs w:val="25"/>
          <w:bdr w:val="none" w:sz="0" w:space="0" w:color="auto" w:frame="1"/>
        </w:rPr>
        <w:drawing>
          <wp:inline distT="0" distB="0" distL="0" distR="0" wp14:anchorId="3EDD4801" wp14:editId="1655B432">
            <wp:extent cx="5724525" cy="5448300"/>
            <wp:effectExtent l="0" t="0" r="9525" b="0"/>
            <wp:docPr id="2" name="Picture 2" descr="An external file that holds a picture, illustration, etc.&#10;Object name is nihms608096f2.jpg">
              <a:hlinkClick xmlns:a="http://schemas.openxmlformats.org/drawingml/2006/main" r:id="rId46" tgtFrame="&quot;tileshop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 external file that holds a picture, illustration, etc.&#10;Object name is nihms608096f2.jpg">
                      <a:hlinkClick r:id="rId46" tgtFrame="&quot;tileshopwindow&quot;"/>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724525" cy="5448300"/>
                    </a:xfrm>
                    <a:prstGeom prst="rect">
                      <a:avLst/>
                    </a:prstGeom>
                    <a:noFill/>
                    <a:ln>
                      <a:noFill/>
                    </a:ln>
                  </pic:spPr>
                </pic:pic>
              </a:graphicData>
            </a:graphic>
          </wp:inline>
        </w:drawing>
      </w:r>
      <w:r w:rsidRPr="00A0258B">
        <w:rPr>
          <w:rFonts w:ascii="Times New Roman" w:eastAsia="Times New Roman" w:hAnsi="Times New Roman" w:cs="Times New Roman"/>
          <w:color w:val="000000"/>
          <w:sz w:val="25"/>
          <w:szCs w:val="25"/>
        </w:rPr>
        <w:fldChar w:fldCharType="end"/>
      </w:r>
    </w:p>
    <w:p w:rsidR="00A0258B" w:rsidRPr="00A0258B" w:rsidRDefault="00A0258B" w:rsidP="00A0258B">
      <w:pPr>
        <w:shd w:val="clear" w:color="auto" w:fill="FFFCF0"/>
        <w:spacing w:after="0" w:line="240" w:lineRule="auto"/>
        <w:textAlignment w:val="top"/>
        <w:rPr>
          <w:rFonts w:ascii="Times New Roman" w:eastAsia="Times New Roman" w:hAnsi="Times New Roman" w:cs="Times New Roman"/>
          <w:color w:val="666666"/>
          <w:sz w:val="23"/>
          <w:szCs w:val="23"/>
        </w:rPr>
      </w:pPr>
      <w:hyperlink r:id="rId48" w:tgtFrame="figure" w:history="1">
        <w:r w:rsidRPr="00A0258B">
          <w:rPr>
            <w:rFonts w:ascii="Times New Roman" w:eastAsia="Times New Roman" w:hAnsi="Times New Roman" w:cs="Times New Roman"/>
            <w:color w:val="642A8F"/>
            <w:sz w:val="23"/>
            <w:szCs w:val="23"/>
            <w:u w:val="single"/>
          </w:rPr>
          <w:t>Figure 2</w:t>
        </w:r>
      </w:hyperlink>
    </w:p>
    <w:p w:rsidR="00A0258B" w:rsidRPr="00A0258B" w:rsidRDefault="00A0258B" w:rsidP="00A0258B">
      <w:pPr>
        <w:shd w:val="clear" w:color="auto" w:fill="FFFCF0"/>
        <w:spacing w:before="166" w:line="240" w:lineRule="auto"/>
        <w:textAlignment w:val="top"/>
        <w:rPr>
          <w:rFonts w:ascii="Times New Roman" w:eastAsia="Times New Roman" w:hAnsi="Times New Roman" w:cs="Times New Roman"/>
          <w:color w:val="666666"/>
          <w:sz w:val="23"/>
          <w:szCs w:val="23"/>
        </w:rPr>
      </w:pPr>
      <w:r w:rsidRPr="00A0258B">
        <w:rPr>
          <w:rFonts w:ascii="Times New Roman" w:eastAsia="Times New Roman" w:hAnsi="Times New Roman" w:cs="Times New Roman"/>
          <w:color w:val="666666"/>
          <w:sz w:val="23"/>
          <w:szCs w:val="23"/>
        </w:rPr>
        <w:t>Possible mechanisms under which C</w:t>
      </w:r>
      <w:r w:rsidRPr="00A0258B">
        <w:rPr>
          <w:rFonts w:ascii="Times New Roman" w:eastAsia="Times New Roman" w:hAnsi="Times New Roman" w:cs="Times New Roman"/>
          <w:color w:val="666666"/>
          <w:sz w:val="20"/>
          <w:szCs w:val="20"/>
          <w:vertAlign w:val="subscript"/>
        </w:rPr>
        <w:t>60</w:t>
      </w:r>
      <w:r w:rsidRPr="00A0258B">
        <w:rPr>
          <w:rFonts w:ascii="Times New Roman" w:eastAsia="Times New Roman" w:hAnsi="Times New Roman" w:cs="Times New Roman"/>
          <w:color w:val="666666"/>
          <w:sz w:val="23"/>
          <w:szCs w:val="23"/>
        </w:rPr>
        <w:t> acts as an efficient free radical scavenger. C</w:t>
      </w:r>
      <w:r w:rsidRPr="00A0258B">
        <w:rPr>
          <w:rFonts w:ascii="Times New Roman" w:eastAsia="Times New Roman" w:hAnsi="Times New Roman" w:cs="Times New Roman"/>
          <w:color w:val="666666"/>
          <w:sz w:val="20"/>
          <w:szCs w:val="20"/>
          <w:vertAlign w:val="subscript"/>
        </w:rPr>
        <w:t>60</w:t>
      </w:r>
      <w:r w:rsidRPr="00A0258B">
        <w:rPr>
          <w:rFonts w:ascii="Times New Roman" w:eastAsia="Times New Roman" w:hAnsi="Times New Roman" w:cs="Times New Roman"/>
          <w:color w:val="666666"/>
          <w:sz w:val="23"/>
          <w:szCs w:val="23"/>
        </w:rPr>
        <w:t> removes free radicals potentially by direct quenching of NO, neutralization of singlet oxygen, enzyme-like dismutation of superoxide radicals, as well as trapping and inactivation of hydroxyl radicals.</w:t>
      </w:r>
    </w:p>
    <w:p w:rsidR="00A0258B" w:rsidRPr="00A0258B" w:rsidRDefault="00A0258B" w:rsidP="00A0258B">
      <w:pPr>
        <w:shd w:val="clear" w:color="auto" w:fill="FFFFFF"/>
        <w:spacing w:after="0" w:line="240" w:lineRule="auto"/>
        <w:jc w:val="right"/>
        <w:rPr>
          <w:rFonts w:ascii="Arial" w:eastAsia="Times New Roman" w:hAnsi="Arial" w:cs="Arial"/>
          <w:color w:val="000000"/>
          <w:sz w:val="25"/>
          <w:szCs w:val="25"/>
        </w:rPr>
      </w:pPr>
      <w:hyperlink r:id="rId49" w:tooltip="Go to other sections in this page" w:history="1">
        <w:r w:rsidRPr="00A0258B">
          <w:rPr>
            <w:rFonts w:ascii="Arial" w:eastAsia="Times New Roman" w:hAnsi="Arial" w:cs="Arial"/>
            <w:color w:val="642A8F"/>
            <w:sz w:val="25"/>
            <w:szCs w:val="25"/>
            <w:u w:val="single"/>
          </w:rPr>
          <w:t>Go to:</w:t>
        </w:r>
      </w:hyperlink>
    </w:p>
    <w:p w:rsidR="00A0258B" w:rsidRPr="00A0258B" w:rsidRDefault="00A0258B" w:rsidP="00A0258B">
      <w:pPr>
        <w:shd w:val="clear" w:color="auto" w:fill="FFFFFF"/>
        <w:spacing w:after="0" w:line="240" w:lineRule="auto"/>
        <w:jc w:val="right"/>
        <w:rPr>
          <w:rFonts w:ascii="Arial" w:eastAsia="Times New Roman" w:hAnsi="Arial" w:cs="Arial"/>
          <w:color w:val="000000"/>
          <w:sz w:val="25"/>
          <w:szCs w:val="25"/>
        </w:rPr>
      </w:pPr>
      <w:hyperlink r:id="rId50" w:tooltip="Go to other sections in this page" w:history="1">
        <w:r w:rsidRPr="00A0258B">
          <w:rPr>
            <w:rFonts w:ascii="Arial" w:eastAsia="Times New Roman" w:hAnsi="Arial" w:cs="Arial"/>
            <w:color w:val="642A8F"/>
            <w:sz w:val="25"/>
            <w:szCs w:val="25"/>
            <w:u w:val="single"/>
          </w:rPr>
          <w:t>Go to:</w:t>
        </w:r>
      </w:hyperlink>
    </w:p>
    <w:p w:rsidR="00A0258B" w:rsidRPr="00A0258B" w:rsidRDefault="00A0258B" w:rsidP="00A0258B">
      <w:pPr>
        <w:pBdr>
          <w:bottom w:val="single" w:sz="6" w:space="0" w:color="97B0C8"/>
        </w:pBdr>
        <w:shd w:val="clear" w:color="auto" w:fill="FFFFFF"/>
        <w:spacing w:before="270" w:after="0" w:line="267" w:lineRule="atLeast"/>
        <w:outlineLvl w:val="1"/>
        <w:rPr>
          <w:rFonts w:ascii="Arial" w:eastAsia="Times New Roman" w:hAnsi="Arial" w:cs="Arial"/>
          <w:color w:val="985735"/>
          <w:sz w:val="28"/>
          <w:szCs w:val="28"/>
        </w:rPr>
      </w:pPr>
      <w:r w:rsidRPr="00A0258B">
        <w:rPr>
          <w:rFonts w:ascii="Arial" w:eastAsia="Times New Roman" w:hAnsi="Arial" w:cs="Arial"/>
          <w:color w:val="985735"/>
          <w:sz w:val="28"/>
          <w:szCs w:val="28"/>
        </w:rPr>
        <w:t>General applications of C</w:t>
      </w:r>
      <w:r w:rsidRPr="00A0258B">
        <w:rPr>
          <w:rFonts w:ascii="Arial" w:eastAsia="Times New Roman" w:hAnsi="Arial" w:cs="Arial"/>
          <w:color w:val="985735"/>
          <w:sz w:val="24"/>
          <w:szCs w:val="24"/>
          <w:vertAlign w:val="subscript"/>
        </w:rPr>
        <w:t>60</w:t>
      </w:r>
      <w:r w:rsidRPr="00A0258B">
        <w:rPr>
          <w:rFonts w:ascii="Arial" w:eastAsia="Times New Roman" w:hAnsi="Arial" w:cs="Arial"/>
          <w:color w:val="985735"/>
          <w:sz w:val="28"/>
          <w:szCs w:val="28"/>
        </w:rPr>
        <w:t> and derivatives in biomedical research</w:t>
      </w:r>
    </w:p>
    <w:p w:rsidR="00A0258B" w:rsidRPr="00A0258B" w:rsidRDefault="00A0258B" w:rsidP="00A0258B">
      <w:pPr>
        <w:shd w:val="clear" w:color="auto" w:fill="FFFFFF"/>
        <w:spacing w:before="166" w:after="166"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lastRenderedPageBreak/>
        <w:t>C</w:t>
      </w:r>
      <w:r w:rsidRPr="00A0258B">
        <w:rPr>
          <w:rFonts w:ascii="Times New Roman" w:eastAsia="Times New Roman" w:hAnsi="Times New Roman" w:cs="Times New Roman"/>
          <w:color w:val="000000"/>
          <w:sz w:val="21"/>
          <w:szCs w:val="21"/>
          <w:vertAlign w:val="subscript"/>
        </w:rPr>
        <w:t>60</w:t>
      </w:r>
      <w:r w:rsidRPr="00A0258B">
        <w:rPr>
          <w:rFonts w:ascii="Times New Roman" w:eastAsia="Times New Roman" w:hAnsi="Times New Roman" w:cs="Times New Roman"/>
          <w:color w:val="000000"/>
          <w:sz w:val="25"/>
          <w:szCs w:val="25"/>
        </w:rPr>
        <w:t> and derivatives were found to be beneficial in many biomedical applications due to the unique anti-oxidant features and various functionalizations of the C</w:t>
      </w:r>
      <w:r w:rsidRPr="00A0258B">
        <w:rPr>
          <w:rFonts w:ascii="Times New Roman" w:eastAsia="Times New Roman" w:hAnsi="Times New Roman" w:cs="Times New Roman"/>
          <w:color w:val="000000"/>
          <w:sz w:val="21"/>
          <w:szCs w:val="21"/>
          <w:vertAlign w:val="subscript"/>
        </w:rPr>
        <w:t>60</w:t>
      </w:r>
      <w:r w:rsidRPr="00A0258B">
        <w:rPr>
          <w:rFonts w:ascii="Times New Roman" w:eastAsia="Times New Roman" w:hAnsi="Times New Roman" w:cs="Times New Roman"/>
          <w:color w:val="000000"/>
          <w:sz w:val="25"/>
          <w:szCs w:val="25"/>
        </w:rPr>
        <w:t> core: (1) suppression: Fullerol, a polyhydroxylated derivative of C</w:t>
      </w:r>
      <w:r w:rsidRPr="00A0258B">
        <w:rPr>
          <w:rFonts w:ascii="Times New Roman" w:eastAsia="Times New Roman" w:hAnsi="Times New Roman" w:cs="Times New Roman"/>
          <w:color w:val="000000"/>
          <w:sz w:val="21"/>
          <w:szCs w:val="21"/>
          <w:vertAlign w:val="subscript"/>
        </w:rPr>
        <w:t>60</w:t>
      </w:r>
      <w:r w:rsidRPr="00A0258B">
        <w:rPr>
          <w:rFonts w:ascii="Times New Roman" w:eastAsia="Times New Roman" w:hAnsi="Times New Roman" w:cs="Times New Roman"/>
          <w:color w:val="000000"/>
          <w:sz w:val="25"/>
          <w:szCs w:val="25"/>
        </w:rPr>
        <w:t>, and C</w:t>
      </w:r>
      <w:r w:rsidRPr="00A0258B">
        <w:rPr>
          <w:rFonts w:ascii="Times New Roman" w:eastAsia="Times New Roman" w:hAnsi="Times New Roman" w:cs="Times New Roman"/>
          <w:color w:val="000000"/>
          <w:sz w:val="21"/>
          <w:szCs w:val="21"/>
          <w:vertAlign w:val="subscript"/>
        </w:rPr>
        <w:t>60</w:t>
      </w:r>
      <w:r w:rsidRPr="00A0258B">
        <w:rPr>
          <w:rFonts w:ascii="Times New Roman" w:eastAsia="Times New Roman" w:hAnsi="Times New Roman" w:cs="Times New Roman"/>
          <w:color w:val="000000"/>
          <w:sz w:val="25"/>
          <w:szCs w:val="25"/>
        </w:rPr>
        <w:t> hybrids bearing xanthine or thalidomide moiety suppressed nitric oxide (NO) and tumor necrosis factor-α (TNF-α) production of macrophages under lipopolysaccharide (LPS) activation and attenuated neutrophilic lung inflammation induced by quartz via eliminating oxidative stress as well as through the therapeutic actions of the linked drug groups (</w:t>
      </w:r>
      <w:hyperlink r:id="rId51" w:anchor="R19" w:history="1">
        <w:r w:rsidRPr="00A0258B">
          <w:rPr>
            <w:rFonts w:ascii="Times New Roman" w:eastAsia="Times New Roman" w:hAnsi="Times New Roman" w:cs="Times New Roman"/>
            <w:color w:val="642A8F"/>
            <w:sz w:val="25"/>
            <w:szCs w:val="25"/>
            <w:u w:val="single"/>
          </w:rPr>
          <w:t>19</w:t>
        </w:r>
      </w:hyperlink>
      <w:r w:rsidRPr="00A0258B">
        <w:rPr>
          <w:rFonts w:ascii="Times New Roman" w:eastAsia="Times New Roman" w:hAnsi="Times New Roman" w:cs="Times New Roman"/>
          <w:color w:val="000000"/>
          <w:sz w:val="25"/>
          <w:szCs w:val="25"/>
        </w:rPr>
        <w:t>–</w:t>
      </w:r>
      <w:hyperlink r:id="rId52" w:anchor="R21" w:history="1">
        <w:r w:rsidRPr="00A0258B">
          <w:rPr>
            <w:rFonts w:ascii="Times New Roman" w:eastAsia="Times New Roman" w:hAnsi="Times New Roman" w:cs="Times New Roman"/>
            <w:color w:val="642A8F"/>
            <w:sz w:val="25"/>
            <w:szCs w:val="25"/>
            <w:u w:val="single"/>
          </w:rPr>
          <w:t>21</w:t>
        </w:r>
      </w:hyperlink>
      <w:r w:rsidRPr="00A0258B">
        <w:rPr>
          <w:rFonts w:ascii="Times New Roman" w:eastAsia="Times New Roman" w:hAnsi="Times New Roman" w:cs="Times New Roman"/>
          <w:color w:val="000000"/>
          <w:sz w:val="25"/>
          <w:szCs w:val="25"/>
        </w:rPr>
        <w:t>). (2) Neuroprotection: C</w:t>
      </w:r>
      <w:r w:rsidRPr="00A0258B">
        <w:rPr>
          <w:rFonts w:ascii="Times New Roman" w:eastAsia="Times New Roman" w:hAnsi="Times New Roman" w:cs="Times New Roman"/>
          <w:color w:val="000000"/>
          <w:sz w:val="21"/>
          <w:szCs w:val="21"/>
          <w:vertAlign w:val="subscript"/>
        </w:rPr>
        <w:t>60</w:t>
      </w:r>
      <w:r w:rsidRPr="00A0258B">
        <w:rPr>
          <w:rFonts w:ascii="Times New Roman" w:eastAsia="Times New Roman" w:hAnsi="Times New Roman" w:cs="Times New Roman"/>
          <w:color w:val="000000"/>
          <w:sz w:val="25"/>
          <w:szCs w:val="25"/>
        </w:rPr>
        <w:t>, fullerol and carboxyfullerene prevented neurons from excitotoxic and apoptotic injuries </w:t>
      </w:r>
      <w:r w:rsidRPr="00A0258B">
        <w:rPr>
          <w:rFonts w:ascii="Times New Roman" w:eastAsia="Times New Roman" w:hAnsi="Times New Roman" w:cs="Times New Roman"/>
          <w:i/>
          <w:iCs/>
          <w:color w:val="000000"/>
          <w:sz w:val="25"/>
          <w:szCs w:val="25"/>
        </w:rPr>
        <w:t>in vitro</w:t>
      </w:r>
      <w:r w:rsidRPr="00A0258B">
        <w:rPr>
          <w:rFonts w:ascii="Times New Roman" w:eastAsia="Times New Roman" w:hAnsi="Times New Roman" w:cs="Times New Roman"/>
          <w:color w:val="000000"/>
          <w:sz w:val="25"/>
          <w:szCs w:val="25"/>
        </w:rPr>
        <w:t> and </w:t>
      </w:r>
      <w:r w:rsidRPr="00A0258B">
        <w:rPr>
          <w:rFonts w:ascii="Times New Roman" w:eastAsia="Times New Roman" w:hAnsi="Times New Roman" w:cs="Times New Roman"/>
          <w:i/>
          <w:iCs/>
          <w:color w:val="000000"/>
          <w:sz w:val="25"/>
          <w:szCs w:val="25"/>
        </w:rPr>
        <w:t>in vivo</w:t>
      </w:r>
      <w:r w:rsidRPr="00A0258B">
        <w:rPr>
          <w:rFonts w:ascii="Times New Roman" w:eastAsia="Times New Roman" w:hAnsi="Times New Roman" w:cs="Times New Roman"/>
          <w:color w:val="000000"/>
          <w:sz w:val="25"/>
          <w:szCs w:val="25"/>
        </w:rPr>
        <w:t>, prevented transgenic neurodegenerative disorder as well as ischemia or iron-induced oxidative injuries in brain tissue, by scavenging free radicals (</w:t>
      </w:r>
      <w:hyperlink r:id="rId53" w:anchor="R22" w:history="1">
        <w:r w:rsidRPr="00A0258B">
          <w:rPr>
            <w:rFonts w:ascii="Times New Roman" w:eastAsia="Times New Roman" w:hAnsi="Times New Roman" w:cs="Times New Roman"/>
            <w:color w:val="642A8F"/>
            <w:sz w:val="25"/>
            <w:szCs w:val="25"/>
            <w:u w:val="single"/>
          </w:rPr>
          <w:t>22</w:t>
        </w:r>
      </w:hyperlink>
      <w:r w:rsidRPr="00A0258B">
        <w:rPr>
          <w:rFonts w:ascii="Times New Roman" w:eastAsia="Times New Roman" w:hAnsi="Times New Roman" w:cs="Times New Roman"/>
          <w:color w:val="000000"/>
          <w:sz w:val="25"/>
          <w:szCs w:val="25"/>
        </w:rPr>
        <w:t>–</w:t>
      </w:r>
      <w:hyperlink r:id="rId54" w:anchor="R26" w:history="1">
        <w:r w:rsidRPr="00A0258B">
          <w:rPr>
            <w:rFonts w:ascii="Times New Roman" w:eastAsia="Times New Roman" w:hAnsi="Times New Roman" w:cs="Times New Roman"/>
            <w:color w:val="642A8F"/>
            <w:sz w:val="25"/>
            <w:szCs w:val="25"/>
            <w:u w:val="single"/>
          </w:rPr>
          <w:t>26</w:t>
        </w:r>
      </w:hyperlink>
      <w:r w:rsidRPr="00A0258B">
        <w:rPr>
          <w:rFonts w:ascii="Times New Roman" w:eastAsia="Times New Roman" w:hAnsi="Times New Roman" w:cs="Times New Roman"/>
          <w:color w:val="000000"/>
          <w:sz w:val="25"/>
          <w:szCs w:val="25"/>
        </w:rPr>
        <w:t>). (3) Protection of visceral organs from oxidative injuries: C</w:t>
      </w:r>
      <w:r w:rsidRPr="00A0258B">
        <w:rPr>
          <w:rFonts w:ascii="Times New Roman" w:eastAsia="Times New Roman" w:hAnsi="Times New Roman" w:cs="Times New Roman"/>
          <w:color w:val="000000"/>
          <w:sz w:val="21"/>
          <w:szCs w:val="21"/>
          <w:vertAlign w:val="subscript"/>
        </w:rPr>
        <w:t>60</w:t>
      </w:r>
      <w:r w:rsidRPr="00A0258B">
        <w:rPr>
          <w:rFonts w:ascii="Times New Roman" w:eastAsia="Times New Roman" w:hAnsi="Times New Roman" w:cs="Times New Roman"/>
          <w:color w:val="000000"/>
          <w:sz w:val="25"/>
          <w:szCs w:val="25"/>
        </w:rPr>
        <w:t>, fullerol and hexa(sulfobutyl)fullerene protected visceral organs, such as liver, heart, lung, kidney, etc., from oxidative injuries via scavenging free radicals (</w:t>
      </w:r>
      <w:hyperlink r:id="rId55" w:anchor="R27" w:history="1">
        <w:r w:rsidRPr="00A0258B">
          <w:rPr>
            <w:rFonts w:ascii="Times New Roman" w:eastAsia="Times New Roman" w:hAnsi="Times New Roman" w:cs="Times New Roman"/>
            <w:color w:val="642A8F"/>
            <w:sz w:val="25"/>
            <w:szCs w:val="25"/>
            <w:u w:val="single"/>
          </w:rPr>
          <w:t>27</w:t>
        </w:r>
      </w:hyperlink>
      <w:r w:rsidRPr="00A0258B">
        <w:rPr>
          <w:rFonts w:ascii="Times New Roman" w:eastAsia="Times New Roman" w:hAnsi="Times New Roman" w:cs="Times New Roman"/>
          <w:color w:val="000000"/>
          <w:sz w:val="25"/>
          <w:szCs w:val="25"/>
        </w:rPr>
        <w:t>–</w:t>
      </w:r>
      <w:hyperlink r:id="rId56" w:anchor="R29" w:history="1">
        <w:r w:rsidRPr="00A0258B">
          <w:rPr>
            <w:rFonts w:ascii="Times New Roman" w:eastAsia="Times New Roman" w:hAnsi="Times New Roman" w:cs="Times New Roman"/>
            <w:color w:val="642A8F"/>
            <w:sz w:val="25"/>
            <w:szCs w:val="25"/>
            <w:u w:val="single"/>
          </w:rPr>
          <w:t>29</w:t>
        </w:r>
      </w:hyperlink>
      <w:r w:rsidRPr="00A0258B">
        <w:rPr>
          <w:rFonts w:ascii="Times New Roman" w:eastAsia="Times New Roman" w:hAnsi="Times New Roman" w:cs="Times New Roman"/>
          <w:color w:val="000000"/>
          <w:sz w:val="25"/>
          <w:szCs w:val="25"/>
        </w:rPr>
        <w:t>). (4) Inhibition of cellular apoptosis: Functionalized C</w:t>
      </w:r>
      <w:r w:rsidRPr="00A0258B">
        <w:rPr>
          <w:rFonts w:ascii="Times New Roman" w:eastAsia="Times New Roman" w:hAnsi="Times New Roman" w:cs="Times New Roman"/>
          <w:color w:val="000000"/>
          <w:sz w:val="21"/>
          <w:szCs w:val="21"/>
          <w:vertAlign w:val="subscript"/>
        </w:rPr>
        <w:t>60</w:t>
      </w:r>
      <w:r w:rsidRPr="00A0258B">
        <w:rPr>
          <w:rFonts w:ascii="Times New Roman" w:eastAsia="Times New Roman" w:hAnsi="Times New Roman" w:cs="Times New Roman"/>
          <w:color w:val="000000"/>
          <w:sz w:val="25"/>
          <w:szCs w:val="25"/>
        </w:rPr>
        <w:t> derivatives, such as glutathione C</w:t>
      </w:r>
      <w:r w:rsidRPr="00A0258B">
        <w:rPr>
          <w:rFonts w:ascii="Times New Roman" w:eastAsia="Times New Roman" w:hAnsi="Times New Roman" w:cs="Times New Roman"/>
          <w:color w:val="000000"/>
          <w:sz w:val="21"/>
          <w:szCs w:val="21"/>
          <w:vertAlign w:val="subscript"/>
        </w:rPr>
        <w:t>60</w:t>
      </w:r>
      <w:r w:rsidRPr="00A0258B">
        <w:rPr>
          <w:rFonts w:ascii="Times New Roman" w:eastAsia="Times New Roman" w:hAnsi="Times New Roman" w:cs="Times New Roman"/>
          <w:color w:val="000000"/>
          <w:sz w:val="25"/>
          <w:szCs w:val="25"/>
        </w:rPr>
        <w:t>, carboxyfullerene, hexa(sulfobutyl)fullerene, C</w:t>
      </w:r>
      <w:r w:rsidRPr="00A0258B">
        <w:rPr>
          <w:rFonts w:ascii="Times New Roman" w:eastAsia="Times New Roman" w:hAnsi="Times New Roman" w:cs="Times New Roman"/>
          <w:color w:val="000000"/>
          <w:sz w:val="21"/>
          <w:szCs w:val="21"/>
          <w:vertAlign w:val="subscript"/>
        </w:rPr>
        <w:t>3</w:t>
      </w:r>
      <w:r w:rsidRPr="00A0258B">
        <w:rPr>
          <w:rFonts w:ascii="Times New Roman" w:eastAsia="Times New Roman" w:hAnsi="Times New Roman" w:cs="Times New Roman"/>
          <w:color w:val="000000"/>
          <w:sz w:val="25"/>
          <w:szCs w:val="25"/>
        </w:rPr>
        <w:t>-fullero-tris-methanodicarboxylic acid, efficiently inhibited cellular apoptosis by suppressing oxidative stress (</w:t>
      </w:r>
      <w:hyperlink r:id="rId57" w:anchor="R30" w:history="1">
        <w:r w:rsidRPr="00A0258B">
          <w:rPr>
            <w:rFonts w:ascii="Times New Roman" w:eastAsia="Times New Roman" w:hAnsi="Times New Roman" w:cs="Times New Roman"/>
            <w:color w:val="642A8F"/>
            <w:sz w:val="25"/>
            <w:szCs w:val="25"/>
            <w:u w:val="single"/>
          </w:rPr>
          <w:t>30</w:t>
        </w:r>
      </w:hyperlink>
      <w:r w:rsidRPr="00A0258B">
        <w:rPr>
          <w:rFonts w:ascii="Times New Roman" w:eastAsia="Times New Roman" w:hAnsi="Times New Roman" w:cs="Times New Roman"/>
          <w:color w:val="000000"/>
          <w:sz w:val="25"/>
          <w:szCs w:val="25"/>
        </w:rPr>
        <w:t>–</w:t>
      </w:r>
      <w:hyperlink r:id="rId58" w:anchor="R34" w:history="1">
        <w:r w:rsidRPr="00A0258B">
          <w:rPr>
            <w:rFonts w:ascii="Times New Roman" w:eastAsia="Times New Roman" w:hAnsi="Times New Roman" w:cs="Times New Roman"/>
            <w:color w:val="642A8F"/>
            <w:sz w:val="25"/>
            <w:szCs w:val="25"/>
            <w:u w:val="single"/>
          </w:rPr>
          <w:t>34</w:t>
        </w:r>
      </w:hyperlink>
      <w:r w:rsidRPr="00A0258B">
        <w:rPr>
          <w:rFonts w:ascii="Times New Roman" w:eastAsia="Times New Roman" w:hAnsi="Times New Roman" w:cs="Times New Roman"/>
          <w:color w:val="000000"/>
          <w:sz w:val="25"/>
          <w:szCs w:val="25"/>
        </w:rPr>
        <w:t>). (5) Radioprotection: Fullerol and dendro[C</w:t>
      </w:r>
      <w:r w:rsidRPr="00A0258B">
        <w:rPr>
          <w:rFonts w:ascii="Times New Roman" w:eastAsia="Times New Roman" w:hAnsi="Times New Roman" w:cs="Times New Roman"/>
          <w:color w:val="000000"/>
          <w:sz w:val="21"/>
          <w:szCs w:val="21"/>
          <w:vertAlign w:val="subscript"/>
        </w:rPr>
        <w:t>60</w:t>
      </w:r>
      <w:r w:rsidRPr="00A0258B">
        <w:rPr>
          <w:rFonts w:ascii="Times New Roman" w:eastAsia="Times New Roman" w:hAnsi="Times New Roman" w:cs="Times New Roman"/>
          <w:color w:val="000000"/>
          <w:sz w:val="25"/>
          <w:szCs w:val="25"/>
        </w:rPr>
        <w:t>]fullerene showed radioprotection of cells, tissues, and organs from free radical damage generated by ionizing radiation (</w:t>
      </w:r>
      <w:hyperlink r:id="rId59" w:anchor="R35" w:history="1">
        <w:r w:rsidRPr="00A0258B">
          <w:rPr>
            <w:rFonts w:ascii="Times New Roman" w:eastAsia="Times New Roman" w:hAnsi="Times New Roman" w:cs="Times New Roman"/>
            <w:color w:val="642A8F"/>
            <w:sz w:val="25"/>
            <w:szCs w:val="25"/>
            <w:u w:val="single"/>
          </w:rPr>
          <w:t>35</w:t>
        </w:r>
      </w:hyperlink>
      <w:r w:rsidRPr="00A0258B">
        <w:rPr>
          <w:rFonts w:ascii="Times New Roman" w:eastAsia="Times New Roman" w:hAnsi="Times New Roman" w:cs="Times New Roman"/>
          <w:color w:val="000000"/>
          <w:sz w:val="25"/>
          <w:szCs w:val="25"/>
        </w:rPr>
        <w:t>–</w:t>
      </w:r>
      <w:hyperlink r:id="rId60" w:anchor="R38" w:history="1">
        <w:r w:rsidRPr="00A0258B">
          <w:rPr>
            <w:rFonts w:ascii="Times New Roman" w:eastAsia="Times New Roman" w:hAnsi="Times New Roman" w:cs="Times New Roman"/>
            <w:color w:val="642A8F"/>
            <w:sz w:val="25"/>
            <w:szCs w:val="25"/>
            <w:u w:val="single"/>
          </w:rPr>
          <w:t>38</w:t>
        </w:r>
      </w:hyperlink>
      <w:r w:rsidRPr="00A0258B">
        <w:rPr>
          <w:rFonts w:ascii="Times New Roman" w:eastAsia="Times New Roman" w:hAnsi="Times New Roman" w:cs="Times New Roman"/>
          <w:color w:val="000000"/>
          <w:sz w:val="25"/>
          <w:szCs w:val="25"/>
        </w:rPr>
        <w:t>). (6) Inhibition of enzyme activities: Fullerol, trimalonic acid C</w:t>
      </w:r>
      <w:r w:rsidRPr="00A0258B">
        <w:rPr>
          <w:rFonts w:ascii="Times New Roman" w:eastAsia="Times New Roman" w:hAnsi="Times New Roman" w:cs="Times New Roman"/>
          <w:color w:val="000000"/>
          <w:sz w:val="21"/>
          <w:szCs w:val="21"/>
          <w:vertAlign w:val="subscript"/>
        </w:rPr>
        <w:t>60</w:t>
      </w:r>
      <w:r w:rsidRPr="00A0258B">
        <w:rPr>
          <w:rFonts w:ascii="Times New Roman" w:eastAsia="Times New Roman" w:hAnsi="Times New Roman" w:cs="Times New Roman"/>
          <w:color w:val="000000"/>
          <w:sz w:val="25"/>
          <w:szCs w:val="25"/>
        </w:rPr>
        <w:t>, tris-malonyl-C</w:t>
      </w:r>
      <w:r w:rsidRPr="00A0258B">
        <w:rPr>
          <w:rFonts w:ascii="Times New Roman" w:eastAsia="Times New Roman" w:hAnsi="Times New Roman" w:cs="Times New Roman"/>
          <w:color w:val="000000"/>
          <w:sz w:val="21"/>
          <w:szCs w:val="21"/>
          <w:vertAlign w:val="subscript"/>
        </w:rPr>
        <w:t>60</w:t>
      </w:r>
      <w:r w:rsidRPr="00A0258B">
        <w:rPr>
          <w:rFonts w:ascii="Times New Roman" w:eastAsia="Times New Roman" w:hAnsi="Times New Roman" w:cs="Times New Roman"/>
          <w:color w:val="000000"/>
          <w:sz w:val="25"/>
          <w:szCs w:val="25"/>
        </w:rPr>
        <w:t> and C</w:t>
      </w:r>
      <w:r w:rsidRPr="00A0258B">
        <w:rPr>
          <w:rFonts w:ascii="Times New Roman" w:eastAsia="Times New Roman" w:hAnsi="Times New Roman" w:cs="Times New Roman"/>
          <w:color w:val="000000"/>
          <w:sz w:val="21"/>
          <w:szCs w:val="21"/>
          <w:vertAlign w:val="subscript"/>
        </w:rPr>
        <w:t>60</w:t>
      </w:r>
      <w:r w:rsidRPr="00A0258B">
        <w:rPr>
          <w:rFonts w:ascii="Times New Roman" w:eastAsia="Times New Roman" w:hAnsi="Times New Roman" w:cs="Times New Roman"/>
          <w:color w:val="000000"/>
          <w:sz w:val="25"/>
          <w:szCs w:val="25"/>
        </w:rPr>
        <w:t>O</w:t>
      </w:r>
      <w:r w:rsidRPr="00A0258B">
        <w:rPr>
          <w:rFonts w:ascii="Times New Roman" w:eastAsia="Times New Roman" w:hAnsi="Times New Roman" w:cs="Times New Roman"/>
          <w:color w:val="000000"/>
          <w:sz w:val="21"/>
          <w:szCs w:val="21"/>
          <w:vertAlign w:val="subscript"/>
        </w:rPr>
        <w:t>5</w:t>
      </w:r>
      <w:r w:rsidRPr="00A0258B">
        <w:rPr>
          <w:rFonts w:ascii="Times New Roman" w:eastAsia="Times New Roman" w:hAnsi="Times New Roman" w:cs="Times New Roman"/>
          <w:color w:val="000000"/>
          <w:sz w:val="25"/>
          <w:szCs w:val="25"/>
        </w:rPr>
        <w:t>(OH)</w:t>
      </w:r>
      <w:r w:rsidRPr="00A0258B">
        <w:rPr>
          <w:rFonts w:ascii="Times New Roman" w:eastAsia="Times New Roman" w:hAnsi="Times New Roman" w:cs="Times New Roman"/>
          <w:color w:val="000000"/>
          <w:sz w:val="21"/>
          <w:szCs w:val="21"/>
          <w:vertAlign w:val="subscript"/>
        </w:rPr>
        <w:t>18</w:t>
      </w:r>
      <w:r w:rsidRPr="00A0258B">
        <w:rPr>
          <w:rFonts w:ascii="Times New Roman" w:eastAsia="Times New Roman" w:hAnsi="Times New Roman" w:cs="Times New Roman"/>
          <w:color w:val="000000"/>
          <w:sz w:val="25"/>
          <w:szCs w:val="25"/>
        </w:rPr>
        <w:t>inhibited activities of </w:t>
      </w:r>
      <w:r w:rsidRPr="00A0258B">
        <w:rPr>
          <w:rFonts w:ascii="Times New Roman" w:eastAsia="Times New Roman" w:hAnsi="Times New Roman" w:cs="Times New Roman"/>
          <w:i/>
          <w:iCs/>
          <w:color w:val="000000"/>
          <w:sz w:val="25"/>
          <w:szCs w:val="25"/>
        </w:rPr>
        <w:t>Thermus aquaticus</w:t>
      </w:r>
      <w:r w:rsidRPr="00A0258B">
        <w:rPr>
          <w:rFonts w:ascii="Times New Roman" w:eastAsia="Times New Roman" w:hAnsi="Times New Roman" w:cs="Times New Roman"/>
          <w:color w:val="000000"/>
          <w:sz w:val="25"/>
          <w:szCs w:val="25"/>
        </w:rPr>
        <w:t> (Taq) DNA polymerase, NO synthase and monooxygenase, due to the high hydrophobicity and electrophilicity of the C</w:t>
      </w:r>
      <w:r w:rsidRPr="00A0258B">
        <w:rPr>
          <w:rFonts w:ascii="Times New Roman" w:eastAsia="Times New Roman" w:hAnsi="Times New Roman" w:cs="Times New Roman"/>
          <w:color w:val="000000"/>
          <w:sz w:val="21"/>
          <w:szCs w:val="21"/>
          <w:vertAlign w:val="subscript"/>
        </w:rPr>
        <w:t>60</w:t>
      </w:r>
      <w:r w:rsidRPr="00A0258B">
        <w:rPr>
          <w:rFonts w:ascii="Times New Roman" w:eastAsia="Times New Roman" w:hAnsi="Times New Roman" w:cs="Times New Roman"/>
          <w:color w:val="000000"/>
          <w:sz w:val="25"/>
          <w:szCs w:val="25"/>
        </w:rPr>
        <w:t> core, as well as through the incorporation of C</w:t>
      </w:r>
      <w:r w:rsidRPr="00A0258B">
        <w:rPr>
          <w:rFonts w:ascii="Times New Roman" w:eastAsia="Times New Roman" w:hAnsi="Times New Roman" w:cs="Times New Roman"/>
          <w:color w:val="000000"/>
          <w:sz w:val="21"/>
          <w:szCs w:val="21"/>
          <w:vertAlign w:val="subscript"/>
        </w:rPr>
        <w:t>60</w:t>
      </w:r>
      <w:r w:rsidRPr="00A0258B">
        <w:rPr>
          <w:rFonts w:ascii="Times New Roman" w:eastAsia="Times New Roman" w:hAnsi="Times New Roman" w:cs="Times New Roman"/>
          <w:color w:val="000000"/>
          <w:sz w:val="25"/>
          <w:szCs w:val="25"/>
        </w:rPr>
        <w:t>nanoparticles into the catalytic pockets and the actions of the conjugated enzyme inhibitory groups via surface modification (</w:t>
      </w:r>
      <w:hyperlink r:id="rId61" w:anchor="R39" w:history="1">
        <w:r w:rsidRPr="00A0258B">
          <w:rPr>
            <w:rFonts w:ascii="Times New Roman" w:eastAsia="Times New Roman" w:hAnsi="Times New Roman" w:cs="Times New Roman"/>
            <w:color w:val="642A8F"/>
            <w:sz w:val="25"/>
            <w:szCs w:val="25"/>
            <w:u w:val="single"/>
          </w:rPr>
          <w:t>39</w:t>
        </w:r>
      </w:hyperlink>
      <w:r w:rsidRPr="00A0258B">
        <w:rPr>
          <w:rFonts w:ascii="Times New Roman" w:eastAsia="Times New Roman" w:hAnsi="Times New Roman" w:cs="Times New Roman"/>
          <w:color w:val="000000"/>
          <w:sz w:val="25"/>
          <w:szCs w:val="25"/>
        </w:rPr>
        <w:t>–</w:t>
      </w:r>
      <w:hyperlink r:id="rId62" w:anchor="R41" w:history="1">
        <w:r w:rsidRPr="00A0258B">
          <w:rPr>
            <w:rFonts w:ascii="Times New Roman" w:eastAsia="Times New Roman" w:hAnsi="Times New Roman" w:cs="Times New Roman"/>
            <w:color w:val="642A8F"/>
            <w:sz w:val="25"/>
            <w:szCs w:val="25"/>
            <w:u w:val="single"/>
          </w:rPr>
          <w:t>41</w:t>
        </w:r>
      </w:hyperlink>
      <w:r w:rsidRPr="00A0258B">
        <w:rPr>
          <w:rFonts w:ascii="Times New Roman" w:eastAsia="Times New Roman" w:hAnsi="Times New Roman" w:cs="Times New Roman"/>
          <w:color w:val="000000"/>
          <w:sz w:val="25"/>
          <w:szCs w:val="25"/>
        </w:rPr>
        <w:t>). (7) Photodynamic therapy: C</w:t>
      </w:r>
      <w:r w:rsidRPr="00A0258B">
        <w:rPr>
          <w:rFonts w:ascii="Times New Roman" w:eastAsia="Times New Roman" w:hAnsi="Times New Roman" w:cs="Times New Roman"/>
          <w:color w:val="000000"/>
          <w:sz w:val="21"/>
          <w:szCs w:val="21"/>
          <w:vertAlign w:val="subscript"/>
        </w:rPr>
        <w:t>60</w:t>
      </w:r>
      <w:r w:rsidRPr="00A0258B">
        <w:rPr>
          <w:rFonts w:ascii="Times New Roman" w:eastAsia="Times New Roman" w:hAnsi="Times New Roman" w:cs="Times New Roman"/>
          <w:color w:val="000000"/>
          <w:sz w:val="25"/>
          <w:szCs w:val="25"/>
        </w:rPr>
        <w:t>, C</w:t>
      </w:r>
      <w:r w:rsidRPr="00A0258B">
        <w:rPr>
          <w:rFonts w:ascii="Times New Roman" w:eastAsia="Times New Roman" w:hAnsi="Times New Roman" w:cs="Times New Roman"/>
          <w:color w:val="000000"/>
          <w:sz w:val="21"/>
          <w:szCs w:val="21"/>
          <w:vertAlign w:val="subscript"/>
        </w:rPr>
        <w:t>60</w:t>
      </w:r>
      <w:r w:rsidRPr="00A0258B">
        <w:rPr>
          <w:rFonts w:ascii="Times New Roman" w:eastAsia="Times New Roman" w:hAnsi="Times New Roman" w:cs="Times New Roman"/>
          <w:color w:val="000000"/>
          <w:sz w:val="25"/>
          <w:szCs w:val="25"/>
        </w:rPr>
        <w:t> linked with pyrrolidinium groups, C</w:t>
      </w:r>
      <w:r w:rsidRPr="00A0258B">
        <w:rPr>
          <w:rFonts w:ascii="Times New Roman" w:eastAsia="Times New Roman" w:hAnsi="Times New Roman" w:cs="Times New Roman"/>
          <w:color w:val="000000"/>
          <w:sz w:val="21"/>
          <w:szCs w:val="21"/>
          <w:vertAlign w:val="subscript"/>
        </w:rPr>
        <w:t>60</w:t>
      </w:r>
      <w:r w:rsidRPr="00A0258B">
        <w:rPr>
          <w:rFonts w:ascii="Times New Roman" w:eastAsia="Times New Roman" w:hAnsi="Times New Roman" w:cs="Times New Roman"/>
          <w:color w:val="000000"/>
          <w:sz w:val="25"/>
          <w:szCs w:val="25"/>
        </w:rPr>
        <w:t>modified with l-phenylalanine, folic acid and l-arginine, and hexakis C</w:t>
      </w:r>
      <w:r w:rsidRPr="00A0258B">
        <w:rPr>
          <w:rFonts w:ascii="Times New Roman" w:eastAsia="Times New Roman" w:hAnsi="Times New Roman" w:cs="Times New Roman"/>
          <w:color w:val="000000"/>
          <w:sz w:val="21"/>
          <w:szCs w:val="21"/>
          <w:vertAlign w:val="subscript"/>
        </w:rPr>
        <w:t>60</w:t>
      </w:r>
      <w:r w:rsidRPr="00A0258B">
        <w:rPr>
          <w:rFonts w:ascii="Times New Roman" w:eastAsia="Times New Roman" w:hAnsi="Times New Roman" w:cs="Times New Roman"/>
          <w:color w:val="000000"/>
          <w:sz w:val="25"/>
          <w:szCs w:val="25"/>
        </w:rPr>
        <w:t> showed inactivating effects on tumor (</w:t>
      </w:r>
      <w:hyperlink r:id="rId63" w:anchor="R42" w:history="1">
        <w:r w:rsidRPr="00A0258B">
          <w:rPr>
            <w:rFonts w:ascii="Times New Roman" w:eastAsia="Times New Roman" w:hAnsi="Times New Roman" w:cs="Times New Roman"/>
            <w:color w:val="642A8F"/>
            <w:sz w:val="25"/>
            <w:szCs w:val="25"/>
            <w:u w:val="single"/>
          </w:rPr>
          <w:t>42</w:t>
        </w:r>
      </w:hyperlink>
      <w:r w:rsidRPr="00A0258B">
        <w:rPr>
          <w:rFonts w:ascii="Times New Roman" w:eastAsia="Times New Roman" w:hAnsi="Times New Roman" w:cs="Times New Roman"/>
          <w:color w:val="000000"/>
          <w:sz w:val="25"/>
          <w:szCs w:val="25"/>
        </w:rPr>
        <w:t>–</w:t>
      </w:r>
      <w:hyperlink r:id="rId64" w:anchor="R44" w:history="1">
        <w:r w:rsidRPr="00A0258B">
          <w:rPr>
            <w:rFonts w:ascii="Times New Roman" w:eastAsia="Times New Roman" w:hAnsi="Times New Roman" w:cs="Times New Roman"/>
            <w:color w:val="642A8F"/>
            <w:sz w:val="25"/>
            <w:szCs w:val="25"/>
            <w:u w:val="single"/>
          </w:rPr>
          <w:t>44</w:t>
        </w:r>
      </w:hyperlink>
      <w:r w:rsidRPr="00A0258B">
        <w:rPr>
          <w:rFonts w:ascii="Times New Roman" w:eastAsia="Times New Roman" w:hAnsi="Times New Roman" w:cs="Times New Roman"/>
          <w:color w:val="000000"/>
          <w:sz w:val="25"/>
          <w:szCs w:val="25"/>
        </w:rPr>
        <w:t>), microbial (</w:t>
      </w:r>
      <w:hyperlink r:id="rId65" w:anchor="R45" w:history="1">
        <w:r w:rsidRPr="00A0258B">
          <w:rPr>
            <w:rFonts w:ascii="Times New Roman" w:eastAsia="Times New Roman" w:hAnsi="Times New Roman" w:cs="Times New Roman"/>
            <w:color w:val="642A8F"/>
            <w:sz w:val="25"/>
            <w:szCs w:val="25"/>
            <w:u w:val="single"/>
          </w:rPr>
          <w:t>45</w:t>
        </w:r>
      </w:hyperlink>
      <w:r w:rsidRPr="00A0258B">
        <w:rPr>
          <w:rFonts w:ascii="Times New Roman" w:eastAsia="Times New Roman" w:hAnsi="Times New Roman" w:cs="Times New Roman"/>
          <w:color w:val="000000"/>
          <w:sz w:val="25"/>
          <w:szCs w:val="25"/>
        </w:rPr>
        <w:t>,</w:t>
      </w:r>
      <w:hyperlink r:id="rId66" w:anchor="R46" w:history="1">
        <w:r w:rsidRPr="00A0258B">
          <w:rPr>
            <w:rFonts w:ascii="Times New Roman" w:eastAsia="Times New Roman" w:hAnsi="Times New Roman" w:cs="Times New Roman"/>
            <w:color w:val="642A8F"/>
            <w:sz w:val="25"/>
            <w:szCs w:val="25"/>
            <w:u w:val="single"/>
          </w:rPr>
          <w:t>46</w:t>
        </w:r>
      </w:hyperlink>
      <w:r w:rsidRPr="00A0258B">
        <w:rPr>
          <w:rFonts w:ascii="Times New Roman" w:eastAsia="Times New Roman" w:hAnsi="Times New Roman" w:cs="Times New Roman"/>
          <w:color w:val="000000"/>
          <w:sz w:val="25"/>
          <w:szCs w:val="25"/>
        </w:rPr>
        <w:t>) and viruses (</w:t>
      </w:r>
      <w:hyperlink r:id="rId67" w:anchor="R47" w:history="1">
        <w:r w:rsidRPr="00A0258B">
          <w:rPr>
            <w:rFonts w:ascii="Times New Roman" w:eastAsia="Times New Roman" w:hAnsi="Times New Roman" w:cs="Times New Roman"/>
            <w:color w:val="642A8F"/>
            <w:sz w:val="25"/>
            <w:szCs w:val="25"/>
            <w:u w:val="single"/>
          </w:rPr>
          <w:t>47</w:t>
        </w:r>
      </w:hyperlink>
      <w:r w:rsidRPr="00A0258B">
        <w:rPr>
          <w:rFonts w:ascii="Times New Roman" w:eastAsia="Times New Roman" w:hAnsi="Times New Roman" w:cs="Times New Roman"/>
          <w:color w:val="000000"/>
          <w:sz w:val="25"/>
          <w:szCs w:val="25"/>
        </w:rPr>
        <w:t>,</w:t>
      </w:r>
      <w:hyperlink r:id="rId68" w:anchor="R48" w:history="1">
        <w:r w:rsidRPr="00A0258B">
          <w:rPr>
            <w:rFonts w:ascii="Times New Roman" w:eastAsia="Times New Roman" w:hAnsi="Times New Roman" w:cs="Times New Roman"/>
            <w:color w:val="642A8F"/>
            <w:sz w:val="25"/>
            <w:szCs w:val="25"/>
            <w:u w:val="single"/>
          </w:rPr>
          <w:t>48</w:t>
        </w:r>
      </w:hyperlink>
      <w:r w:rsidRPr="00A0258B">
        <w:rPr>
          <w:rFonts w:ascii="Times New Roman" w:eastAsia="Times New Roman" w:hAnsi="Times New Roman" w:cs="Times New Roman"/>
          <w:color w:val="000000"/>
          <w:sz w:val="25"/>
          <w:szCs w:val="25"/>
        </w:rPr>
        <w:t>), by generating ROS upon illumination through photodynamic therapy strategy, working as photosensitizers. (8) Drug and gene delivery: Surface modifications of the C</w:t>
      </w:r>
      <w:r w:rsidRPr="00A0258B">
        <w:rPr>
          <w:rFonts w:ascii="Times New Roman" w:eastAsia="Times New Roman" w:hAnsi="Times New Roman" w:cs="Times New Roman"/>
          <w:color w:val="000000"/>
          <w:sz w:val="21"/>
          <w:szCs w:val="21"/>
          <w:vertAlign w:val="subscript"/>
        </w:rPr>
        <w:t>60</w:t>
      </w:r>
      <w:r w:rsidRPr="00A0258B">
        <w:rPr>
          <w:rFonts w:ascii="Times New Roman" w:eastAsia="Times New Roman" w:hAnsi="Times New Roman" w:cs="Times New Roman"/>
          <w:color w:val="000000"/>
          <w:sz w:val="25"/>
          <w:szCs w:val="25"/>
        </w:rPr>
        <w:t> core to be conjugated with drugs, such as C</w:t>
      </w:r>
      <w:r w:rsidRPr="00A0258B">
        <w:rPr>
          <w:rFonts w:ascii="Times New Roman" w:eastAsia="Times New Roman" w:hAnsi="Times New Roman" w:cs="Times New Roman"/>
          <w:color w:val="000000"/>
          <w:sz w:val="21"/>
          <w:szCs w:val="21"/>
          <w:vertAlign w:val="subscript"/>
        </w:rPr>
        <w:t>60–</w:t>
      </w:r>
      <w:r w:rsidRPr="00A0258B">
        <w:rPr>
          <w:rFonts w:ascii="Times New Roman" w:eastAsia="Times New Roman" w:hAnsi="Times New Roman" w:cs="Times New Roman"/>
          <w:color w:val="000000"/>
          <w:sz w:val="25"/>
          <w:szCs w:val="25"/>
        </w:rPr>
        <w:t>paclitaxel and C</w:t>
      </w:r>
      <w:r w:rsidRPr="00A0258B">
        <w:rPr>
          <w:rFonts w:ascii="Times New Roman" w:eastAsia="Times New Roman" w:hAnsi="Times New Roman" w:cs="Times New Roman"/>
          <w:color w:val="000000"/>
          <w:sz w:val="21"/>
          <w:szCs w:val="21"/>
          <w:vertAlign w:val="subscript"/>
        </w:rPr>
        <w:t>60</w:t>
      </w:r>
      <w:r w:rsidRPr="00A0258B">
        <w:rPr>
          <w:rFonts w:ascii="Times New Roman" w:eastAsia="Times New Roman" w:hAnsi="Times New Roman" w:cs="Times New Roman"/>
          <w:color w:val="000000"/>
          <w:sz w:val="25"/>
          <w:szCs w:val="25"/>
        </w:rPr>
        <w:t>-PEI-FA/DTX, or functionalizations with DNA-binding groups, such as amino (seri, C</w:t>
      </w:r>
      <w:r w:rsidRPr="00A0258B">
        <w:rPr>
          <w:rFonts w:ascii="Times New Roman" w:eastAsia="Times New Roman" w:hAnsi="Times New Roman" w:cs="Times New Roman"/>
          <w:color w:val="000000"/>
          <w:sz w:val="21"/>
          <w:szCs w:val="21"/>
          <w:vertAlign w:val="subscript"/>
        </w:rPr>
        <w:t>3</w:t>
      </w:r>
      <w:r w:rsidRPr="00A0258B">
        <w:rPr>
          <w:rFonts w:ascii="Times New Roman" w:eastAsia="Times New Roman" w:hAnsi="Times New Roman" w:cs="Times New Roman"/>
          <w:color w:val="000000"/>
          <w:sz w:val="25"/>
          <w:szCs w:val="25"/>
        </w:rPr>
        <w:t>)-C</w:t>
      </w:r>
      <w:r w:rsidRPr="00A0258B">
        <w:rPr>
          <w:rFonts w:ascii="Times New Roman" w:eastAsia="Times New Roman" w:hAnsi="Times New Roman" w:cs="Times New Roman"/>
          <w:color w:val="000000"/>
          <w:sz w:val="21"/>
          <w:szCs w:val="21"/>
          <w:vertAlign w:val="subscript"/>
        </w:rPr>
        <w:t>60</w:t>
      </w:r>
      <w:r w:rsidRPr="00A0258B">
        <w:rPr>
          <w:rFonts w:ascii="Times New Roman" w:eastAsia="Times New Roman" w:hAnsi="Times New Roman" w:cs="Times New Roman"/>
          <w:color w:val="000000"/>
          <w:sz w:val="25"/>
          <w:szCs w:val="25"/>
        </w:rPr>
        <w:t> adducts and tetra-amino C</w:t>
      </w:r>
      <w:r w:rsidRPr="00A0258B">
        <w:rPr>
          <w:rFonts w:ascii="Times New Roman" w:eastAsia="Times New Roman" w:hAnsi="Times New Roman" w:cs="Times New Roman"/>
          <w:color w:val="000000"/>
          <w:sz w:val="21"/>
          <w:szCs w:val="21"/>
          <w:vertAlign w:val="subscript"/>
        </w:rPr>
        <w:t>60</w:t>
      </w:r>
      <w:r w:rsidRPr="00A0258B">
        <w:rPr>
          <w:rFonts w:ascii="Times New Roman" w:eastAsia="Times New Roman" w:hAnsi="Times New Roman" w:cs="Times New Roman"/>
          <w:color w:val="000000"/>
          <w:sz w:val="25"/>
          <w:szCs w:val="25"/>
        </w:rPr>
        <w:t>, were explored and proved to be promising for drug and gene delivery (</w:t>
      </w:r>
      <w:hyperlink r:id="rId69" w:anchor="R49" w:history="1">
        <w:r w:rsidRPr="00A0258B">
          <w:rPr>
            <w:rFonts w:ascii="Times New Roman" w:eastAsia="Times New Roman" w:hAnsi="Times New Roman" w:cs="Times New Roman"/>
            <w:color w:val="642A8F"/>
            <w:sz w:val="25"/>
            <w:szCs w:val="25"/>
            <w:u w:val="single"/>
          </w:rPr>
          <w:t>49</w:t>
        </w:r>
      </w:hyperlink>
      <w:r w:rsidRPr="00A0258B">
        <w:rPr>
          <w:rFonts w:ascii="Times New Roman" w:eastAsia="Times New Roman" w:hAnsi="Times New Roman" w:cs="Times New Roman"/>
          <w:color w:val="000000"/>
          <w:sz w:val="25"/>
          <w:szCs w:val="25"/>
        </w:rPr>
        <w:t>–</w:t>
      </w:r>
      <w:hyperlink r:id="rId70" w:anchor="R52" w:history="1">
        <w:r w:rsidRPr="00A0258B">
          <w:rPr>
            <w:rFonts w:ascii="Times New Roman" w:eastAsia="Times New Roman" w:hAnsi="Times New Roman" w:cs="Times New Roman"/>
            <w:color w:val="642A8F"/>
            <w:sz w:val="25"/>
            <w:szCs w:val="25"/>
            <w:u w:val="single"/>
          </w:rPr>
          <w:t>52</w:t>
        </w:r>
      </w:hyperlink>
      <w:r w:rsidRPr="00A0258B">
        <w:rPr>
          <w:rFonts w:ascii="Times New Roman" w:eastAsia="Times New Roman" w:hAnsi="Times New Roman" w:cs="Times New Roman"/>
          <w:color w:val="000000"/>
          <w:sz w:val="25"/>
          <w:szCs w:val="25"/>
        </w:rPr>
        <w:t>). (9) Cellular imaging and biodistribution detection: Gadolinium (Ga), holmium (</w:t>
      </w:r>
      <w:r w:rsidRPr="00A0258B">
        <w:rPr>
          <w:rFonts w:ascii="Times New Roman" w:eastAsia="Times New Roman" w:hAnsi="Times New Roman" w:cs="Times New Roman"/>
          <w:color w:val="000000"/>
          <w:sz w:val="21"/>
          <w:szCs w:val="21"/>
          <w:vertAlign w:val="superscript"/>
        </w:rPr>
        <w:t>166</w:t>
      </w:r>
      <w:r w:rsidRPr="00A0258B">
        <w:rPr>
          <w:rFonts w:ascii="Times New Roman" w:eastAsia="Times New Roman" w:hAnsi="Times New Roman" w:cs="Times New Roman"/>
          <w:color w:val="000000"/>
          <w:sz w:val="25"/>
          <w:szCs w:val="25"/>
        </w:rPr>
        <w:t>Ho) and technetium (</w:t>
      </w:r>
      <w:r w:rsidRPr="00A0258B">
        <w:rPr>
          <w:rFonts w:ascii="Times New Roman" w:eastAsia="Times New Roman" w:hAnsi="Times New Roman" w:cs="Times New Roman"/>
          <w:color w:val="000000"/>
          <w:sz w:val="21"/>
          <w:szCs w:val="21"/>
          <w:vertAlign w:val="superscript"/>
        </w:rPr>
        <w:t>99m</w:t>
      </w:r>
      <w:r w:rsidRPr="00A0258B">
        <w:rPr>
          <w:rFonts w:ascii="Times New Roman" w:eastAsia="Times New Roman" w:hAnsi="Times New Roman" w:cs="Times New Roman"/>
          <w:color w:val="000000"/>
          <w:sz w:val="25"/>
          <w:szCs w:val="25"/>
        </w:rPr>
        <w:t>Tc) ions were trapped in fullerene cages and investigated in the applications of cellular imaging and biodistribution detection (</w:t>
      </w:r>
      <w:hyperlink r:id="rId71" w:anchor="R53" w:history="1">
        <w:r w:rsidRPr="00A0258B">
          <w:rPr>
            <w:rFonts w:ascii="Times New Roman" w:eastAsia="Times New Roman" w:hAnsi="Times New Roman" w:cs="Times New Roman"/>
            <w:color w:val="642A8F"/>
            <w:sz w:val="25"/>
            <w:szCs w:val="25"/>
            <w:u w:val="single"/>
          </w:rPr>
          <w:t>53</w:t>
        </w:r>
      </w:hyperlink>
      <w:r w:rsidRPr="00A0258B">
        <w:rPr>
          <w:rFonts w:ascii="Times New Roman" w:eastAsia="Times New Roman" w:hAnsi="Times New Roman" w:cs="Times New Roman"/>
          <w:color w:val="000000"/>
          <w:sz w:val="25"/>
          <w:szCs w:val="25"/>
        </w:rPr>
        <w:t>–</w:t>
      </w:r>
      <w:hyperlink r:id="rId72" w:anchor="R56" w:history="1">
        <w:r w:rsidRPr="00A0258B">
          <w:rPr>
            <w:rFonts w:ascii="Times New Roman" w:eastAsia="Times New Roman" w:hAnsi="Times New Roman" w:cs="Times New Roman"/>
            <w:color w:val="642A8F"/>
            <w:sz w:val="25"/>
            <w:szCs w:val="25"/>
            <w:u w:val="single"/>
          </w:rPr>
          <w:t>56</w:t>
        </w:r>
      </w:hyperlink>
      <w:r w:rsidRPr="00A0258B">
        <w:rPr>
          <w:rFonts w:ascii="Times New Roman" w:eastAsia="Times New Roman" w:hAnsi="Times New Roman" w:cs="Times New Roman"/>
          <w:color w:val="000000"/>
          <w:sz w:val="25"/>
          <w:szCs w:val="25"/>
        </w:rPr>
        <w:t>). These findings exhibited promising features of C</w:t>
      </w:r>
      <w:r w:rsidRPr="00A0258B">
        <w:rPr>
          <w:rFonts w:ascii="Times New Roman" w:eastAsia="Times New Roman" w:hAnsi="Times New Roman" w:cs="Times New Roman"/>
          <w:color w:val="000000"/>
          <w:sz w:val="21"/>
          <w:szCs w:val="21"/>
          <w:vertAlign w:val="subscript"/>
        </w:rPr>
        <w:t>60</w:t>
      </w:r>
      <w:r w:rsidRPr="00A0258B">
        <w:rPr>
          <w:rFonts w:ascii="Times New Roman" w:eastAsia="Times New Roman" w:hAnsi="Times New Roman" w:cs="Times New Roman"/>
          <w:color w:val="000000"/>
          <w:sz w:val="25"/>
          <w:szCs w:val="25"/>
        </w:rPr>
        <w:t> and derivatives and warrant their further beneficial applications in orthopaedic research.</w:t>
      </w:r>
    </w:p>
    <w:p w:rsidR="00A0258B" w:rsidRPr="00A0258B" w:rsidRDefault="00A0258B" w:rsidP="00A0258B">
      <w:pPr>
        <w:shd w:val="clear" w:color="auto" w:fill="FFFFFF"/>
        <w:spacing w:after="0" w:line="240" w:lineRule="auto"/>
        <w:jc w:val="right"/>
        <w:rPr>
          <w:rFonts w:ascii="Arial" w:eastAsia="Times New Roman" w:hAnsi="Arial" w:cs="Arial"/>
          <w:color w:val="000000"/>
          <w:sz w:val="25"/>
          <w:szCs w:val="25"/>
        </w:rPr>
      </w:pPr>
      <w:hyperlink r:id="rId73" w:tooltip="Go to other sections in this page" w:history="1">
        <w:r w:rsidRPr="00A0258B">
          <w:rPr>
            <w:rFonts w:ascii="Arial" w:eastAsia="Times New Roman" w:hAnsi="Arial" w:cs="Arial"/>
            <w:color w:val="642A8F"/>
            <w:sz w:val="25"/>
            <w:szCs w:val="25"/>
            <w:u w:val="single"/>
          </w:rPr>
          <w:t>Go to:</w:t>
        </w:r>
      </w:hyperlink>
    </w:p>
    <w:p w:rsidR="00A0258B" w:rsidRPr="00A0258B" w:rsidRDefault="00A0258B" w:rsidP="00A0258B">
      <w:pPr>
        <w:shd w:val="clear" w:color="auto" w:fill="FFFFFF"/>
        <w:spacing w:after="0" w:line="240" w:lineRule="auto"/>
        <w:jc w:val="right"/>
        <w:rPr>
          <w:rFonts w:ascii="Arial" w:eastAsia="Times New Roman" w:hAnsi="Arial" w:cs="Arial"/>
          <w:color w:val="000000"/>
          <w:sz w:val="25"/>
          <w:szCs w:val="25"/>
        </w:rPr>
      </w:pPr>
      <w:hyperlink r:id="rId74" w:tooltip="Go to other sections in this page" w:history="1">
        <w:r w:rsidRPr="00A0258B">
          <w:rPr>
            <w:rFonts w:ascii="Arial" w:eastAsia="Times New Roman" w:hAnsi="Arial" w:cs="Arial"/>
            <w:color w:val="642A8F"/>
            <w:sz w:val="25"/>
            <w:szCs w:val="25"/>
            <w:u w:val="single"/>
          </w:rPr>
          <w:t>Go to:</w:t>
        </w:r>
      </w:hyperlink>
    </w:p>
    <w:p w:rsidR="00A0258B" w:rsidRPr="00A0258B" w:rsidRDefault="00A0258B" w:rsidP="00A0258B">
      <w:pPr>
        <w:pBdr>
          <w:bottom w:val="single" w:sz="6" w:space="0" w:color="97B0C8"/>
        </w:pBdr>
        <w:shd w:val="clear" w:color="auto" w:fill="FFFFFF"/>
        <w:spacing w:before="270" w:after="0" w:line="267" w:lineRule="atLeast"/>
        <w:outlineLvl w:val="1"/>
        <w:rPr>
          <w:rFonts w:ascii="Arial" w:eastAsia="Times New Roman" w:hAnsi="Arial" w:cs="Arial"/>
          <w:color w:val="985735"/>
          <w:sz w:val="28"/>
          <w:szCs w:val="28"/>
        </w:rPr>
      </w:pPr>
      <w:r w:rsidRPr="00A0258B">
        <w:rPr>
          <w:rFonts w:ascii="Arial" w:eastAsia="Times New Roman" w:hAnsi="Arial" w:cs="Arial"/>
          <w:color w:val="985735"/>
          <w:sz w:val="28"/>
          <w:szCs w:val="28"/>
        </w:rPr>
        <w:t>Applications of C</w:t>
      </w:r>
      <w:r w:rsidRPr="00A0258B">
        <w:rPr>
          <w:rFonts w:ascii="Arial" w:eastAsia="Times New Roman" w:hAnsi="Arial" w:cs="Arial"/>
          <w:color w:val="985735"/>
          <w:sz w:val="24"/>
          <w:szCs w:val="24"/>
          <w:vertAlign w:val="subscript"/>
        </w:rPr>
        <w:t>60</w:t>
      </w:r>
      <w:r w:rsidRPr="00A0258B">
        <w:rPr>
          <w:rFonts w:ascii="Arial" w:eastAsia="Times New Roman" w:hAnsi="Arial" w:cs="Arial"/>
          <w:color w:val="985735"/>
          <w:sz w:val="28"/>
          <w:szCs w:val="28"/>
        </w:rPr>
        <w:t> and derivatives in orthopaedic research</w:t>
      </w:r>
    </w:p>
    <w:p w:rsidR="00A0258B" w:rsidRPr="00A0258B" w:rsidRDefault="00A0258B" w:rsidP="00A0258B">
      <w:pPr>
        <w:shd w:val="clear" w:color="auto" w:fill="FFFFFF"/>
        <w:spacing w:before="308" w:after="154" w:line="300" w:lineRule="atLeast"/>
        <w:outlineLvl w:val="2"/>
        <w:rPr>
          <w:rFonts w:ascii="Arial" w:eastAsia="Times New Roman" w:hAnsi="Arial" w:cs="Arial"/>
          <w:color w:val="724128"/>
          <w:sz w:val="25"/>
          <w:szCs w:val="25"/>
        </w:rPr>
      </w:pPr>
      <w:r w:rsidRPr="00A0258B">
        <w:rPr>
          <w:rFonts w:ascii="Arial" w:eastAsia="Times New Roman" w:hAnsi="Arial" w:cs="Arial"/>
          <w:color w:val="724128"/>
          <w:sz w:val="25"/>
          <w:szCs w:val="25"/>
        </w:rPr>
        <w:t>C</w:t>
      </w:r>
      <w:r w:rsidRPr="00A0258B">
        <w:rPr>
          <w:rFonts w:ascii="Arial" w:eastAsia="Times New Roman" w:hAnsi="Arial" w:cs="Arial"/>
          <w:color w:val="724128"/>
          <w:sz w:val="21"/>
          <w:szCs w:val="21"/>
          <w:vertAlign w:val="subscript"/>
        </w:rPr>
        <w:t>60</w:t>
      </w:r>
      <w:r w:rsidRPr="00A0258B">
        <w:rPr>
          <w:rFonts w:ascii="Arial" w:eastAsia="Times New Roman" w:hAnsi="Arial" w:cs="Arial"/>
          <w:color w:val="724128"/>
          <w:sz w:val="25"/>
          <w:szCs w:val="25"/>
        </w:rPr>
        <w:t> and derivatives in cartilage degeneration treatment</w:t>
      </w:r>
    </w:p>
    <w:p w:rsidR="00A0258B" w:rsidRPr="00A0258B" w:rsidRDefault="00A0258B" w:rsidP="00A0258B">
      <w:pPr>
        <w:shd w:val="clear" w:color="auto" w:fill="FFFFFF"/>
        <w:spacing w:before="166" w:after="166"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 xml:space="preserve">How to improve the recruitment of chondrocytes derived from progenitor cells is always a big challenge in cartilage degeneration therapy regarding the loss of functional chondrocytes. </w:t>
      </w:r>
      <w:r w:rsidRPr="00A0258B">
        <w:rPr>
          <w:rFonts w:ascii="Times New Roman" w:eastAsia="Times New Roman" w:hAnsi="Times New Roman" w:cs="Times New Roman"/>
          <w:color w:val="000000"/>
          <w:sz w:val="25"/>
          <w:szCs w:val="25"/>
        </w:rPr>
        <w:lastRenderedPageBreak/>
        <w:t>Tsuchiya et al. (</w:t>
      </w:r>
      <w:hyperlink r:id="rId75" w:anchor="R57" w:history="1">
        <w:r w:rsidRPr="00A0258B">
          <w:rPr>
            <w:rFonts w:ascii="Times New Roman" w:eastAsia="Times New Roman" w:hAnsi="Times New Roman" w:cs="Times New Roman"/>
            <w:color w:val="642A8F"/>
            <w:sz w:val="25"/>
            <w:szCs w:val="25"/>
            <w:u w:val="single"/>
          </w:rPr>
          <w:t>57</w:t>
        </w:r>
      </w:hyperlink>
      <w:r w:rsidRPr="00A0258B">
        <w:rPr>
          <w:rFonts w:ascii="Times New Roman" w:eastAsia="Times New Roman" w:hAnsi="Times New Roman" w:cs="Times New Roman"/>
          <w:color w:val="000000"/>
          <w:sz w:val="25"/>
          <w:szCs w:val="25"/>
        </w:rPr>
        <w:t>) were the first group to explore the influence of C</w:t>
      </w:r>
      <w:r w:rsidRPr="00A0258B">
        <w:rPr>
          <w:rFonts w:ascii="Times New Roman" w:eastAsia="Times New Roman" w:hAnsi="Times New Roman" w:cs="Times New Roman"/>
          <w:color w:val="000000"/>
          <w:sz w:val="21"/>
          <w:szCs w:val="21"/>
          <w:vertAlign w:val="subscript"/>
        </w:rPr>
        <w:t>60</w:t>
      </w:r>
      <w:r w:rsidRPr="00A0258B">
        <w:rPr>
          <w:rFonts w:ascii="Times New Roman" w:eastAsia="Times New Roman" w:hAnsi="Times New Roman" w:cs="Times New Roman"/>
          <w:color w:val="000000"/>
          <w:sz w:val="25"/>
          <w:szCs w:val="25"/>
        </w:rPr>
        <w:t> on cellular chondrogenic differentiation. In a micromass culture model </w:t>
      </w:r>
      <w:r w:rsidRPr="00A0258B">
        <w:rPr>
          <w:rFonts w:ascii="Times New Roman" w:eastAsia="Times New Roman" w:hAnsi="Times New Roman" w:cs="Times New Roman"/>
          <w:i/>
          <w:iCs/>
          <w:color w:val="000000"/>
          <w:sz w:val="25"/>
          <w:szCs w:val="25"/>
        </w:rPr>
        <w:t>in vitro</w:t>
      </w:r>
      <w:r w:rsidRPr="00A0258B">
        <w:rPr>
          <w:rFonts w:ascii="Times New Roman" w:eastAsia="Times New Roman" w:hAnsi="Times New Roman" w:cs="Times New Roman"/>
          <w:color w:val="000000"/>
          <w:sz w:val="25"/>
          <w:szCs w:val="25"/>
        </w:rPr>
        <w:t>, they found that water-soluble C</w:t>
      </w:r>
      <w:r w:rsidRPr="00A0258B">
        <w:rPr>
          <w:rFonts w:ascii="Times New Roman" w:eastAsia="Times New Roman" w:hAnsi="Times New Roman" w:cs="Times New Roman"/>
          <w:color w:val="000000"/>
          <w:sz w:val="21"/>
          <w:szCs w:val="21"/>
          <w:vertAlign w:val="subscript"/>
        </w:rPr>
        <w:t>60</w:t>
      </w:r>
      <w:r w:rsidRPr="00A0258B">
        <w:rPr>
          <w:rFonts w:ascii="Times New Roman" w:eastAsia="Times New Roman" w:hAnsi="Times New Roman" w:cs="Times New Roman"/>
          <w:color w:val="000000"/>
          <w:sz w:val="25"/>
          <w:szCs w:val="25"/>
        </w:rPr>
        <w:t> strongly promoted the chondrogenesis of primary embryonic limb bud cells in proportion to the compound concentrations with alcian blue staining. Since it was reported that the enzymes responsible for chondroitin sulfate synthesis are concentrated in both rough and smooth endoplasmic reticulum (</w:t>
      </w:r>
      <w:hyperlink r:id="rId76" w:anchor="R58" w:history="1">
        <w:r w:rsidRPr="00A0258B">
          <w:rPr>
            <w:rFonts w:ascii="Times New Roman" w:eastAsia="Times New Roman" w:hAnsi="Times New Roman" w:cs="Times New Roman"/>
            <w:color w:val="642A8F"/>
            <w:sz w:val="25"/>
            <w:szCs w:val="25"/>
            <w:u w:val="single"/>
          </w:rPr>
          <w:t>58</w:t>
        </w:r>
      </w:hyperlink>
      <w:r w:rsidRPr="00A0258B">
        <w:rPr>
          <w:rFonts w:ascii="Times New Roman" w:eastAsia="Times New Roman" w:hAnsi="Times New Roman" w:cs="Times New Roman"/>
          <w:color w:val="000000"/>
          <w:sz w:val="25"/>
          <w:szCs w:val="25"/>
        </w:rPr>
        <w:t>), and C</w:t>
      </w:r>
      <w:r w:rsidRPr="00A0258B">
        <w:rPr>
          <w:rFonts w:ascii="Times New Roman" w:eastAsia="Times New Roman" w:hAnsi="Times New Roman" w:cs="Times New Roman"/>
          <w:color w:val="000000"/>
          <w:sz w:val="21"/>
          <w:szCs w:val="21"/>
          <w:vertAlign w:val="subscript"/>
        </w:rPr>
        <w:t>60</w:t>
      </w:r>
      <w:r w:rsidRPr="00A0258B">
        <w:rPr>
          <w:rFonts w:ascii="Times New Roman" w:eastAsia="Times New Roman" w:hAnsi="Times New Roman" w:cs="Times New Roman"/>
          <w:color w:val="000000"/>
          <w:sz w:val="25"/>
          <w:szCs w:val="25"/>
        </w:rPr>
        <w:t> was documented to be incorporated into lipid membranes (</w:t>
      </w:r>
      <w:hyperlink r:id="rId77" w:anchor="R59" w:history="1">
        <w:r w:rsidRPr="00A0258B">
          <w:rPr>
            <w:rFonts w:ascii="Times New Roman" w:eastAsia="Times New Roman" w:hAnsi="Times New Roman" w:cs="Times New Roman"/>
            <w:color w:val="642A8F"/>
            <w:sz w:val="25"/>
            <w:szCs w:val="25"/>
            <w:u w:val="single"/>
          </w:rPr>
          <w:t>59</w:t>
        </w:r>
      </w:hyperlink>
      <w:r w:rsidRPr="00A0258B">
        <w:rPr>
          <w:rFonts w:ascii="Times New Roman" w:eastAsia="Times New Roman" w:hAnsi="Times New Roman" w:cs="Times New Roman"/>
          <w:color w:val="000000"/>
          <w:sz w:val="25"/>
          <w:szCs w:val="25"/>
        </w:rPr>
        <w:t>), also, highly charged polyanionic substances markedly stimulated the synthesis of proteoglycan (</w:t>
      </w:r>
      <w:hyperlink r:id="rId78" w:anchor="R60" w:history="1">
        <w:r w:rsidRPr="00A0258B">
          <w:rPr>
            <w:rFonts w:ascii="Times New Roman" w:eastAsia="Times New Roman" w:hAnsi="Times New Roman" w:cs="Times New Roman"/>
            <w:color w:val="642A8F"/>
            <w:sz w:val="25"/>
            <w:szCs w:val="25"/>
            <w:u w:val="single"/>
          </w:rPr>
          <w:t>60</w:t>
        </w:r>
      </w:hyperlink>
      <w:r w:rsidRPr="00A0258B">
        <w:rPr>
          <w:rFonts w:ascii="Times New Roman" w:eastAsia="Times New Roman" w:hAnsi="Times New Roman" w:cs="Times New Roman"/>
          <w:color w:val="000000"/>
          <w:sz w:val="25"/>
          <w:szCs w:val="25"/>
        </w:rPr>
        <w:t>), the authors proposed two possible mechanisms for their findings: in cellular reticulum, (1) C</w:t>
      </w:r>
      <w:r w:rsidRPr="00A0258B">
        <w:rPr>
          <w:rFonts w:ascii="Times New Roman" w:eastAsia="Times New Roman" w:hAnsi="Times New Roman" w:cs="Times New Roman"/>
          <w:color w:val="000000"/>
          <w:sz w:val="21"/>
          <w:szCs w:val="21"/>
          <w:vertAlign w:val="subscript"/>
        </w:rPr>
        <w:t>60</w:t>
      </w:r>
      <w:r w:rsidRPr="00A0258B">
        <w:rPr>
          <w:rFonts w:ascii="Times New Roman" w:eastAsia="Times New Roman" w:hAnsi="Times New Roman" w:cs="Times New Roman"/>
          <w:color w:val="000000"/>
          <w:sz w:val="25"/>
          <w:szCs w:val="25"/>
        </w:rPr>
        <w:t> works as polyanionic substance featured with the </w:t>
      </w:r>
      <w:r w:rsidRPr="00A0258B">
        <w:rPr>
          <w:rFonts w:ascii="Times New Roman" w:eastAsia="Times New Roman" w:hAnsi="Times New Roman" w:cs="Times New Roman"/>
          <w:i/>
          <w:iCs/>
          <w:color w:val="000000"/>
          <w:sz w:val="25"/>
          <w:szCs w:val="25"/>
        </w:rPr>
        <w:t>π</w:t>
      </w:r>
      <w:r w:rsidRPr="00A0258B">
        <w:rPr>
          <w:rFonts w:ascii="Times New Roman" w:eastAsia="Times New Roman" w:hAnsi="Times New Roman" w:cs="Times New Roman"/>
          <w:color w:val="000000"/>
          <w:sz w:val="25"/>
          <w:szCs w:val="25"/>
        </w:rPr>
        <w:t>-electron-rich surface in itself; (2) C</w:t>
      </w:r>
      <w:r w:rsidRPr="00A0258B">
        <w:rPr>
          <w:rFonts w:ascii="Times New Roman" w:eastAsia="Times New Roman" w:hAnsi="Times New Roman" w:cs="Times New Roman"/>
          <w:color w:val="000000"/>
          <w:sz w:val="21"/>
          <w:szCs w:val="21"/>
          <w:vertAlign w:val="subscript"/>
        </w:rPr>
        <w:t>60</w:t>
      </w:r>
      <w:r w:rsidRPr="00A0258B">
        <w:rPr>
          <w:rFonts w:ascii="Times New Roman" w:eastAsia="Times New Roman" w:hAnsi="Times New Roman" w:cs="Times New Roman"/>
          <w:color w:val="000000"/>
          <w:sz w:val="25"/>
          <w:szCs w:val="25"/>
        </w:rPr>
        <w:t> concentrates the polyanionic substances such as chondroitin sulfate and the polyanionic substances promote the synthesis of proteoglycan. However, the authors did not discuss the anti-oxidant property of C</w:t>
      </w:r>
      <w:r w:rsidRPr="00A0258B">
        <w:rPr>
          <w:rFonts w:ascii="Times New Roman" w:eastAsia="Times New Roman" w:hAnsi="Times New Roman" w:cs="Times New Roman"/>
          <w:color w:val="000000"/>
          <w:sz w:val="21"/>
          <w:szCs w:val="21"/>
          <w:vertAlign w:val="subscript"/>
        </w:rPr>
        <w:t>60</w:t>
      </w:r>
      <w:r w:rsidRPr="00A0258B">
        <w:rPr>
          <w:rFonts w:ascii="Times New Roman" w:eastAsia="Times New Roman" w:hAnsi="Times New Roman" w:cs="Times New Roman"/>
          <w:color w:val="000000"/>
          <w:sz w:val="25"/>
          <w:szCs w:val="25"/>
        </w:rPr>
        <w:t> which may potentially function as another mechanism to enhance cellular chondrogenic differentiation.</w:t>
      </w:r>
    </w:p>
    <w:p w:rsidR="00A0258B" w:rsidRPr="00A0258B" w:rsidRDefault="00A0258B" w:rsidP="00A0258B">
      <w:pPr>
        <w:shd w:val="clear" w:color="auto" w:fill="FFFFFF"/>
        <w:spacing w:before="166" w:after="166"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The further application of C</w:t>
      </w:r>
      <w:r w:rsidRPr="00A0258B">
        <w:rPr>
          <w:rFonts w:ascii="Times New Roman" w:eastAsia="Times New Roman" w:hAnsi="Times New Roman" w:cs="Times New Roman"/>
          <w:color w:val="000000"/>
          <w:sz w:val="21"/>
          <w:szCs w:val="21"/>
          <w:vertAlign w:val="subscript"/>
        </w:rPr>
        <w:t>60</w:t>
      </w:r>
      <w:r w:rsidRPr="00A0258B">
        <w:rPr>
          <w:rFonts w:ascii="Times New Roman" w:eastAsia="Times New Roman" w:hAnsi="Times New Roman" w:cs="Times New Roman"/>
          <w:color w:val="000000"/>
          <w:sz w:val="25"/>
          <w:szCs w:val="25"/>
        </w:rPr>
        <w:t> to prevent cartilage degeneration was explored by a Japanese group (</w:t>
      </w:r>
      <w:hyperlink r:id="rId79" w:anchor="R12" w:history="1">
        <w:r w:rsidRPr="00A0258B">
          <w:rPr>
            <w:rFonts w:ascii="Times New Roman" w:eastAsia="Times New Roman" w:hAnsi="Times New Roman" w:cs="Times New Roman"/>
            <w:color w:val="642A8F"/>
            <w:sz w:val="25"/>
            <w:szCs w:val="25"/>
            <w:u w:val="single"/>
          </w:rPr>
          <w:t>12</w:t>
        </w:r>
      </w:hyperlink>
      <w:r w:rsidRPr="00A0258B">
        <w:rPr>
          <w:rFonts w:ascii="Times New Roman" w:eastAsia="Times New Roman" w:hAnsi="Times New Roman" w:cs="Times New Roman"/>
          <w:color w:val="000000"/>
          <w:sz w:val="25"/>
          <w:szCs w:val="25"/>
        </w:rPr>
        <w:t>). In the </w:t>
      </w:r>
      <w:r w:rsidRPr="00A0258B">
        <w:rPr>
          <w:rFonts w:ascii="Times New Roman" w:eastAsia="Times New Roman" w:hAnsi="Times New Roman" w:cs="Times New Roman"/>
          <w:i/>
          <w:iCs/>
          <w:color w:val="000000"/>
          <w:sz w:val="25"/>
          <w:szCs w:val="25"/>
        </w:rPr>
        <w:t>in vitro</w:t>
      </w:r>
      <w:r w:rsidRPr="00A0258B">
        <w:rPr>
          <w:rFonts w:ascii="Times New Roman" w:eastAsia="Times New Roman" w:hAnsi="Times New Roman" w:cs="Times New Roman"/>
          <w:color w:val="000000"/>
          <w:sz w:val="25"/>
          <w:szCs w:val="25"/>
        </w:rPr>
        <w:t> study, it was shown that under interleukin-1 β (IL-1 β) or H</w:t>
      </w:r>
      <w:r w:rsidRPr="00A0258B">
        <w:rPr>
          <w:rFonts w:ascii="Times New Roman" w:eastAsia="Times New Roman" w:hAnsi="Times New Roman" w:cs="Times New Roman"/>
          <w:color w:val="000000"/>
          <w:sz w:val="21"/>
          <w:szCs w:val="21"/>
          <w:vertAlign w:val="subscript"/>
        </w:rPr>
        <w:t>2</w:t>
      </w:r>
      <w:r w:rsidRPr="00A0258B">
        <w:rPr>
          <w:rFonts w:ascii="Times New Roman" w:eastAsia="Times New Roman" w:hAnsi="Times New Roman" w:cs="Times New Roman"/>
          <w:color w:val="000000"/>
          <w:sz w:val="25"/>
          <w:szCs w:val="25"/>
        </w:rPr>
        <w:t>O</w:t>
      </w:r>
      <w:r w:rsidRPr="00A0258B">
        <w:rPr>
          <w:rFonts w:ascii="Times New Roman" w:eastAsia="Times New Roman" w:hAnsi="Times New Roman" w:cs="Times New Roman"/>
          <w:color w:val="000000"/>
          <w:sz w:val="21"/>
          <w:szCs w:val="21"/>
          <w:vertAlign w:val="subscript"/>
        </w:rPr>
        <w:t>2</w:t>
      </w:r>
      <w:r w:rsidRPr="00A0258B">
        <w:rPr>
          <w:rFonts w:ascii="Times New Roman" w:eastAsia="Times New Roman" w:hAnsi="Times New Roman" w:cs="Times New Roman"/>
          <w:color w:val="000000"/>
          <w:sz w:val="25"/>
          <w:szCs w:val="25"/>
        </w:rPr>
        <w:t> induction, water-soluble C</w:t>
      </w:r>
      <w:r w:rsidRPr="00A0258B">
        <w:rPr>
          <w:rFonts w:ascii="Times New Roman" w:eastAsia="Times New Roman" w:hAnsi="Times New Roman" w:cs="Times New Roman"/>
          <w:color w:val="000000"/>
          <w:sz w:val="21"/>
          <w:szCs w:val="21"/>
          <w:vertAlign w:val="subscript"/>
        </w:rPr>
        <w:t>60</w:t>
      </w:r>
      <w:r w:rsidRPr="00A0258B">
        <w:rPr>
          <w:rFonts w:ascii="Times New Roman" w:eastAsia="Times New Roman" w:hAnsi="Times New Roman" w:cs="Times New Roman"/>
          <w:color w:val="000000"/>
          <w:sz w:val="25"/>
          <w:szCs w:val="25"/>
        </w:rPr>
        <w:t>down-regulated cellular production of matrix-degrading enzymes in chondrocytes from patients with osteoarthritis. At the same time, C</w:t>
      </w:r>
      <w:r w:rsidRPr="00A0258B">
        <w:rPr>
          <w:rFonts w:ascii="Times New Roman" w:eastAsia="Times New Roman" w:hAnsi="Times New Roman" w:cs="Times New Roman"/>
          <w:color w:val="000000"/>
          <w:sz w:val="21"/>
          <w:szCs w:val="21"/>
          <w:vertAlign w:val="subscript"/>
        </w:rPr>
        <w:t>60</w:t>
      </w:r>
      <w:r w:rsidRPr="00A0258B">
        <w:rPr>
          <w:rFonts w:ascii="Times New Roman" w:eastAsia="Times New Roman" w:hAnsi="Times New Roman" w:cs="Times New Roman"/>
          <w:color w:val="000000"/>
          <w:sz w:val="25"/>
          <w:szCs w:val="25"/>
        </w:rPr>
        <w:t> dramatically enhanced the biosynthesis of proteoglycan and collagen type II, as well as decreased cellular apoptosis and senescence under catabolic stress. In the </w:t>
      </w:r>
      <w:r w:rsidRPr="00A0258B">
        <w:rPr>
          <w:rFonts w:ascii="Times New Roman" w:eastAsia="Times New Roman" w:hAnsi="Times New Roman" w:cs="Times New Roman"/>
          <w:i/>
          <w:iCs/>
          <w:color w:val="000000"/>
          <w:sz w:val="25"/>
          <w:szCs w:val="25"/>
        </w:rPr>
        <w:t>in vivo</w:t>
      </w:r>
      <w:r w:rsidRPr="00A0258B">
        <w:rPr>
          <w:rFonts w:ascii="Times New Roman" w:eastAsia="Times New Roman" w:hAnsi="Times New Roman" w:cs="Times New Roman"/>
          <w:color w:val="000000"/>
          <w:sz w:val="25"/>
          <w:szCs w:val="25"/>
        </w:rPr>
        <w:t> study, they found that intra-articular administration of C</w:t>
      </w:r>
      <w:r w:rsidRPr="00A0258B">
        <w:rPr>
          <w:rFonts w:ascii="Times New Roman" w:eastAsia="Times New Roman" w:hAnsi="Times New Roman" w:cs="Times New Roman"/>
          <w:color w:val="000000"/>
          <w:sz w:val="21"/>
          <w:szCs w:val="21"/>
          <w:vertAlign w:val="subscript"/>
        </w:rPr>
        <w:t>60</w:t>
      </w:r>
      <w:r w:rsidRPr="00A0258B">
        <w:rPr>
          <w:rFonts w:ascii="Times New Roman" w:eastAsia="Times New Roman" w:hAnsi="Times New Roman" w:cs="Times New Roman"/>
          <w:color w:val="000000"/>
          <w:sz w:val="25"/>
          <w:szCs w:val="25"/>
        </w:rPr>
        <w:t> prevented the progression of cartilage degeneration in an osteoarthritis rabbit model with a dose-dependent manner. The protective effects of C</w:t>
      </w:r>
      <w:r w:rsidRPr="00A0258B">
        <w:rPr>
          <w:rFonts w:ascii="Times New Roman" w:eastAsia="Times New Roman" w:hAnsi="Times New Roman" w:cs="Times New Roman"/>
          <w:color w:val="000000"/>
          <w:sz w:val="21"/>
          <w:szCs w:val="21"/>
          <w:vertAlign w:val="subscript"/>
        </w:rPr>
        <w:t>60</w:t>
      </w:r>
      <w:r w:rsidRPr="00A0258B">
        <w:rPr>
          <w:rFonts w:ascii="Times New Roman" w:eastAsia="Times New Roman" w:hAnsi="Times New Roman" w:cs="Times New Roman"/>
          <w:color w:val="000000"/>
          <w:sz w:val="25"/>
          <w:szCs w:val="25"/>
        </w:rPr>
        <w:t> were potentially attributed to its free radical scavenging property. As has been documented the induced production of ROS is associated with inflammation in varieties of cells (</w:t>
      </w:r>
      <w:hyperlink r:id="rId80" w:anchor="R61" w:history="1">
        <w:r w:rsidRPr="00A0258B">
          <w:rPr>
            <w:rFonts w:ascii="Times New Roman" w:eastAsia="Times New Roman" w:hAnsi="Times New Roman" w:cs="Times New Roman"/>
            <w:color w:val="642A8F"/>
            <w:sz w:val="25"/>
            <w:szCs w:val="25"/>
            <w:u w:val="single"/>
          </w:rPr>
          <w:t>61</w:t>
        </w:r>
      </w:hyperlink>
      <w:r w:rsidRPr="00A0258B">
        <w:rPr>
          <w:rFonts w:ascii="Times New Roman" w:eastAsia="Times New Roman" w:hAnsi="Times New Roman" w:cs="Times New Roman"/>
          <w:color w:val="000000"/>
          <w:sz w:val="25"/>
          <w:szCs w:val="25"/>
        </w:rPr>
        <w:t>–</w:t>
      </w:r>
      <w:hyperlink r:id="rId81" w:anchor="R63" w:history="1">
        <w:r w:rsidRPr="00A0258B">
          <w:rPr>
            <w:rFonts w:ascii="Times New Roman" w:eastAsia="Times New Roman" w:hAnsi="Times New Roman" w:cs="Times New Roman"/>
            <w:color w:val="642A8F"/>
            <w:sz w:val="25"/>
            <w:szCs w:val="25"/>
            <w:u w:val="single"/>
          </w:rPr>
          <w:t>63</w:t>
        </w:r>
      </w:hyperlink>
      <w:r w:rsidRPr="00A0258B">
        <w:rPr>
          <w:rFonts w:ascii="Times New Roman" w:eastAsia="Times New Roman" w:hAnsi="Times New Roman" w:cs="Times New Roman"/>
          <w:color w:val="000000"/>
          <w:sz w:val="25"/>
          <w:szCs w:val="25"/>
        </w:rPr>
        <w:t>). ROS can also lead to a proinflammatory state and an imbalance of catabolic and anabolic activities in articular cartilage. Since under certain pathological conditions, endogenous anti-oxidants are not sufficient to inactivate excess free radicals (</w:t>
      </w:r>
      <w:hyperlink r:id="rId82" w:anchor="R64" w:history="1">
        <w:r w:rsidRPr="00A0258B">
          <w:rPr>
            <w:rFonts w:ascii="Times New Roman" w:eastAsia="Times New Roman" w:hAnsi="Times New Roman" w:cs="Times New Roman"/>
            <w:color w:val="642A8F"/>
            <w:sz w:val="25"/>
            <w:szCs w:val="25"/>
            <w:u w:val="single"/>
          </w:rPr>
          <w:t>64</w:t>
        </w:r>
      </w:hyperlink>
      <w:r w:rsidRPr="00A0258B">
        <w:rPr>
          <w:rFonts w:ascii="Times New Roman" w:eastAsia="Times New Roman" w:hAnsi="Times New Roman" w:cs="Times New Roman"/>
          <w:color w:val="000000"/>
          <w:sz w:val="25"/>
          <w:szCs w:val="25"/>
        </w:rPr>
        <w:t>), it is a novel strategy to suppress the inflammation with administration of extrinsic anti-oxidants, such as C</w:t>
      </w:r>
      <w:r w:rsidRPr="00A0258B">
        <w:rPr>
          <w:rFonts w:ascii="Times New Roman" w:eastAsia="Times New Roman" w:hAnsi="Times New Roman" w:cs="Times New Roman"/>
          <w:color w:val="000000"/>
          <w:sz w:val="21"/>
          <w:szCs w:val="21"/>
          <w:vertAlign w:val="subscript"/>
        </w:rPr>
        <w:t>60</w:t>
      </w:r>
      <w:r w:rsidRPr="00A0258B">
        <w:rPr>
          <w:rFonts w:ascii="Times New Roman" w:eastAsia="Times New Roman" w:hAnsi="Times New Roman" w:cs="Times New Roman"/>
          <w:color w:val="000000"/>
          <w:sz w:val="25"/>
          <w:szCs w:val="25"/>
        </w:rPr>
        <w:t>. Also, the authors suggested that the injected C</w:t>
      </w:r>
      <w:r w:rsidRPr="00A0258B">
        <w:rPr>
          <w:rFonts w:ascii="Times New Roman" w:eastAsia="Times New Roman" w:hAnsi="Times New Roman" w:cs="Times New Roman"/>
          <w:color w:val="000000"/>
          <w:sz w:val="21"/>
          <w:szCs w:val="21"/>
          <w:vertAlign w:val="subscript"/>
        </w:rPr>
        <w:t>60</w:t>
      </w:r>
      <w:r w:rsidRPr="00A0258B">
        <w:rPr>
          <w:rFonts w:ascii="Times New Roman" w:eastAsia="Times New Roman" w:hAnsi="Times New Roman" w:cs="Times New Roman"/>
          <w:color w:val="000000"/>
          <w:sz w:val="25"/>
          <w:szCs w:val="25"/>
        </w:rPr>
        <w:t> worked as a “molecular bearing” with superlubricity (</w:t>
      </w:r>
      <w:hyperlink r:id="rId83" w:anchor="R65" w:history="1">
        <w:r w:rsidRPr="00A0258B">
          <w:rPr>
            <w:rFonts w:ascii="Times New Roman" w:eastAsia="Times New Roman" w:hAnsi="Times New Roman" w:cs="Times New Roman"/>
            <w:color w:val="642A8F"/>
            <w:sz w:val="25"/>
            <w:szCs w:val="25"/>
            <w:u w:val="single"/>
          </w:rPr>
          <w:t>65</w:t>
        </w:r>
      </w:hyperlink>
      <w:r w:rsidRPr="00A0258B">
        <w:rPr>
          <w:rFonts w:ascii="Times New Roman" w:eastAsia="Times New Roman" w:hAnsi="Times New Roman" w:cs="Times New Roman"/>
          <w:color w:val="000000"/>
          <w:sz w:val="25"/>
          <w:szCs w:val="25"/>
        </w:rPr>
        <w:t>) to coat, lubricate and protect the joint cartilage function. Therefore, administration of C</w:t>
      </w:r>
      <w:r w:rsidRPr="00A0258B">
        <w:rPr>
          <w:rFonts w:ascii="Times New Roman" w:eastAsia="Times New Roman" w:hAnsi="Times New Roman" w:cs="Times New Roman"/>
          <w:color w:val="000000"/>
          <w:sz w:val="21"/>
          <w:szCs w:val="21"/>
          <w:vertAlign w:val="subscript"/>
        </w:rPr>
        <w:t>60</w:t>
      </w:r>
      <w:r w:rsidRPr="00A0258B">
        <w:rPr>
          <w:rFonts w:ascii="Times New Roman" w:eastAsia="Times New Roman" w:hAnsi="Times New Roman" w:cs="Times New Roman"/>
          <w:color w:val="000000"/>
          <w:sz w:val="25"/>
          <w:szCs w:val="25"/>
        </w:rPr>
        <w:t> might have a distinct therapeutic value as a strategy to prevent cartilage degeneration.</w:t>
      </w:r>
    </w:p>
    <w:p w:rsidR="00A0258B" w:rsidRPr="00A0258B" w:rsidRDefault="00A0258B" w:rsidP="00A0258B">
      <w:pPr>
        <w:shd w:val="clear" w:color="auto" w:fill="FFFFFF"/>
        <w:spacing w:before="166" w:after="166"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The strategy to treat cartilage degeneration with C</w:t>
      </w:r>
      <w:r w:rsidRPr="00A0258B">
        <w:rPr>
          <w:rFonts w:ascii="Times New Roman" w:eastAsia="Times New Roman" w:hAnsi="Times New Roman" w:cs="Times New Roman"/>
          <w:color w:val="000000"/>
          <w:sz w:val="21"/>
          <w:szCs w:val="21"/>
          <w:vertAlign w:val="subscript"/>
        </w:rPr>
        <w:t>60</w:t>
      </w:r>
      <w:r w:rsidRPr="00A0258B">
        <w:rPr>
          <w:rFonts w:ascii="Times New Roman" w:eastAsia="Times New Roman" w:hAnsi="Times New Roman" w:cs="Times New Roman"/>
          <w:color w:val="000000"/>
          <w:sz w:val="25"/>
          <w:szCs w:val="25"/>
        </w:rPr>
        <w:t> and derivatives is shown in </w:t>
      </w:r>
      <w:hyperlink r:id="rId84" w:tgtFrame="figure" w:history="1">
        <w:r w:rsidRPr="00A0258B">
          <w:rPr>
            <w:rFonts w:ascii="Times New Roman" w:eastAsia="Times New Roman" w:hAnsi="Times New Roman" w:cs="Times New Roman"/>
            <w:color w:val="642A8F"/>
            <w:sz w:val="25"/>
            <w:szCs w:val="25"/>
            <w:u w:val="single"/>
          </w:rPr>
          <w:t>Figure 3</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CF0"/>
        <w:spacing w:after="0" w:line="240" w:lineRule="auto"/>
        <w:jc w:val="center"/>
        <w:rPr>
          <w:rFonts w:ascii="Times New Roman" w:eastAsia="Times New Roman" w:hAnsi="Times New Roman" w:cs="Times New Roman"/>
          <w:color w:val="642A8F"/>
          <w:sz w:val="24"/>
          <w:szCs w:val="24"/>
          <w:bdr w:val="none" w:sz="0" w:space="0" w:color="auto" w:frame="1"/>
        </w:rPr>
      </w:pPr>
      <w:r w:rsidRPr="00A0258B">
        <w:rPr>
          <w:rFonts w:ascii="Times New Roman" w:eastAsia="Times New Roman" w:hAnsi="Times New Roman" w:cs="Times New Roman"/>
          <w:color w:val="000000"/>
          <w:sz w:val="25"/>
          <w:szCs w:val="25"/>
        </w:rPr>
        <w:fldChar w:fldCharType="begin"/>
      </w:r>
      <w:r w:rsidRPr="00A0258B">
        <w:rPr>
          <w:rFonts w:ascii="Times New Roman" w:eastAsia="Times New Roman" w:hAnsi="Times New Roman" w:cs="Times New Roman"/>
          <w:color w:val="000000"/>
          <w:sz w:val="25"/>
          <w:szCs w:val="25"/>
        </w:rPr>
        <w:instrText xml:space="preserve"> HYPERLINK "https://www.ncbi.nlm.nih.gov/core/lw/2.0/html/tileshop_pmc/tileshop_pmc_inline.html?title=Click%20on%20image%20to%20zoom&amp;p=PMC3&amp;id=4124742_nihms608096f3.jpg" \t "tileshopwindow" </w:instrText>
      </w:r>
      <w:r w:rsidRPr="00A0258B">
        <w:rPr>
          <w:rFonts w:ascii="Times New Roman" w:eastAsia="Times New Roman" w:hAnsi="Times New Roman" w:cs="Times New Roman"/>
          <w:color w:val="000000"/>
          <w:sz w:val="25"/>
          <w:szCs w:val="25"/>
        </w:rPr>
        <w:fldChar w:fldCharType="separate"/>
      </w:r>
    </w:p>
    <w:p w:rsidR="00A0258B" w:rsidRPr="00A0258B" w:rsidRDefault="00A0258B" w:rsidP="00A0258B">
      <w:pPr>
        <w:shd w:val="clear" w:color="auto" w:fill="FFFCF0"/>
        <w:spacing w:line="240" w:lineRule="auto"/>
        <w:jc w:val="center"/>
        <w:rPr>
          <w:rFonts w:ascii="Times New Roman" w:eastAsia="Times New Roman" w:hAnsi="Times New Roman" w:cs="Times New Roman"/>
          <w:color w:val="000000"/>
          <w:sz w:val="24"/>
          <w:szCs w:val="24"/>
        </w:rPr>
      </w:pPr>
      <w:r w:rsidRPr="00A0258B">
        <w:rPr>
          <w:rFonts w:ascii="Times New Roman" w:eastAsia="Times New Roman" w:hAnsi="Times New Roman" w:cs="Times New Roman"/>
          <w:noProof/>
          <w:color w:val="642A8F"/>
          <w:sz w:val="25"/>
          <w:szCs w:val="25"/>
          <w:bdr w:val="none" w:sz="0" w:space="0" w:color="auto" w:frame="1"/>
        </w:rPr>
        <w:lastRenderedPageBreak/>
        <w:drawing>
          <wp:inline distT="0" distB="0" distL="0" distR="0" wp14:anchorId="4A201193" wp14:editId="1D453297">
            <wp:extent cx="5848350" cy="4619625"/>
            <wp:effectExtent l="0" t="0" r="0" b="9525"/>
            <wp:docPr id="3" name="Picture 3" descr="An external file that holds a picture, illustration, etc.&#10;Object name is nihms608096f3.jpg">
              <a:hlinkClick xmlns:a="http://schemas.openxmlformats.org/drawingml/2006/main" r:id="rId85" tgtFrame="&quot;tileshop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 external file that holds a picture, illustration, etc.&#10;Object name is nihms608096f3.jpg">
                      <a:hlinkClick r:id="rId85" tgtFrame="&quot;tileshopwindow&quot;"/>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848350" cy="4619625"/>
                    </a:xfrm>
                    <a:prstGeom prst="rect">
                      <a:avLst/>
                    </a:prstGeom>
                    <a:noFill/>
                    <a:ln>
                      <a:noFill/>
                    </a:ln>
                  </pic:spPr>
                </pic:pic>
              </a:graphicData>
            </a:graphic>
          </wp:inline>
        </w:drawing>
      </w:r>
      <w:r w:rsidRPr="00A0258B">
        <w:rPr>
          <w:rFonts w:ascii="Times New Roman" w:eastAsia="Times New Roman" w:hAnsi="Times New Roman" w:cs="Times New Roman"/>
          <w:color w:val="000000"/>
          <w:sz w:val="25"/>
          <w:szCs w:val="25"/>
        </w:rPr>
        <w:fldChar w:fldCharType="end"/>
      </w:r>
    </w:p>
    <w:p w:rsidR="00A0258B" w:rsidRPr="00A0258B" w:rsidRDefault="00A0258B" w:rsidP="00A0258B">
      <w:pPr>
        <w:shd w:val="clear" w:color="auto" w:fill="FFFCF0"/>
        <w:spacing w:after="0" w:line="240" w:lineRule="auto"/>
        <w:textAlignment w:val="top"/>
        <w:rPr>
          <w:rFonts w:ascii="Times New Roman" w:eastAsia="Times New Roman" w:hAnsi="Times New Roman" w:cs="Times New Roman"/>
          <w:color w:val="666666"/>
          <w:sz w:val="23"/>
          <w:szCs w:val="23"/>
        </w:rPr>
      </w:pPr>
      <w:hyperlink r:id="rId87" w:tgtFrame="figure" w:history="1">
        <w:r w:rsidRPr="00A0258B">
          <w:rPr>
            <w:rFonts w:ascii="Times New Roman" w:eastAsia="Times New Roman" w:hAnsi="Times New Roman" w:cs="Times New Roman"/>
            <w:color w:val="642A8F"/>
            <w:sz w:val="23"/>
            <w:szCs w:val="23"/>
            <w:u w:val="single"/>
          </w:rPr>
          <w:t>Figure 3</w:t>
        </w:r>
      </w:hyperlink>
    </w:p>
    <w:p w:rsidR="00A0258B" w:rsidRPr="00A0258B" w:rsidRDefault="00A0258B" w:rsidP="00A0258B">
      <w:pPr>
        <w:shd w:val="clear" w:color="auto" w:fill="FFFCF0"/>
        <w:spacing w:before="166" w:line="240" w:lineRule="auto"/>
        <w:textAlignment w:val="top"/>
        <w:rPr>
          <w:rFonts w:ascii="Times New Roman" w:eastAsia="Times New Roman" w:hAnsi="Times New Roman" w:cs="Times New Roman"/>
          <w:color w:val="666666"/>
          <w:sz w:val="23"/>
          <w:szCs w:val="23"/>
        </w:rPr>
      </w:pPr>
      <w:r w:rsidRPr="00A0258B">
        <w:rPr>
          <w:rFonts w:ascii="Times New Roman" w:eastAsia="Times New Roman" w:hAnsi="Times New Roman" w:cs="Times New Roman"/>
          <w:color w:val="666666"/>
          <w:sz w:val="23"/>
          <w:szCs w:val="23"/>
        </w:rPr>
        <w:t>The strategy to treat cartilage degeneration with C</w:t>
      </w:r>
      <w:r w:rsidRPr="00A0258B">
        <w:rPr>
          <w:rFonts w:ascii="Times New Roman" w:eastAsia="Times New Roman" w:hAnsi="Times New Roman" w:cs="Times New Roman"/>
          <w:color w:val="666666"/>
          <w:sz w:val="20"/>
          <w:szCs w:val="20"/>
          <w:vertAlign w:val="subscript"/>
        </w:rPr>
        <w:t>60</w:t>
      </w:r>
      <w:r w:rsidRPr="00A0258B">
        <w:rPr>
          <w:rFonts w:ascii="Times New Roman" w:eastAsia="Times New Roman" w:hAnsi="Times New Roman" w:cs="Times New Roman"/>
          <w:color w:val="666666"/>
          <w:sz w:val="23"/>
          <w:szCs w:val="23"/>
        </w:rPr>
        <w:t> and derivatives. C</w:t>
      </w:r>
      <w:r w:rsidRPr="00A0258B">
        <w:rPr>
          <w:rFonts w:ascii="Times New Roman" w:eastAsia="Times New Roman" w:hAnsi="Times New Roman" w:cs="Times New Roman"/>
          <w:color w:val="666666"/>
          <w:sz w:val="20"/>
          <w:szCs w:val="20"/>
          <w:vertAlign w:val="subscript"/>
        </w:rPr>
        <w:t>60</w:t>
      </w:r>
      <w:r w:rsidRPr="00A0258B">
        <w:rPr>
          <w:rFonts w:ascii="Times New Roman" w:eastAsia="Times New Roman" w:hAnsi="Times New Roman" w:cs="Times New Roman"/>
          <w:color w:val="666666"/>
          <w:sz w:val="23"/>
          <w:szCs w:val="23"/>
        </w:rPr>
        <w:t> and derivatives enhance cellular chondrogenesis working as polyanionic substances and polyanionic substance concentrators, suppress cartilage inflammation by scavenging free radicals, and promote joint lubricity as a “molecular bearing”.</w:t>
      </w:r>
    </w:p>
    <w:p w:rsidR="00A0258B" w:rsidRPr="00A0258B" w:rsidRDefault="00A0258B" w:rsidP="00A0258B">
      <w:pPr>
        <w:shd w:val="clear" w:color="auto" w:fill="FFFFFF"/>
        <w:spacing w:before="308" w:after="154" w:line="300" w:lineRule="atLeast"/>
        <w:outlineLvl w:val="2"/>
        <w:rPr>
          <w:rFonts w:ascii="Arial" w:eastAsia="Times New Roman" w:hAnsi="Arial" w:cs="Arial"/>
          <w:color w:val="724128"/>
          <w:sz w:val="25"/>
          <w:szCs w:val="25"/>
        </w:rPr>
      </w:pPr>
      <w:r w:rsidRPr="00A0258B">
        <w:rPr>
          <w:rFonts w:ascii="Arial" w:eastAsia="Times New Roman" w:hAnsi="Arial" w:cs="Arial"/>
          <w:color w:val="724128"/>
          <w:sz w:val="25"/>
          <w:szCs w:val="25"/>
        </w:rPr>
        <w:t>C</w:t>
      </w:r>
      <w:r w:rsidRPr="00A0258B">
        <w:rPr>
          <w:rFonts w:ascii="Arial" w:eastAsia="Times New Roman" w:hAnsi="Arial" w:cs="Arial"/>
          <w:color w:val="724128"/>
          <w:sz w:val="21"/>
          <w:szCs w:val="21"/>
          <w:vertAlign w:val="subscript"/>
        </w:rPr>
        <w:t>60</w:t>
      </w:r>
      <w:r w:rsidRPr="00A0258B">
        <w:rPr>
          <w:rFonts w:ascii="Arial" w:eastAsia="Times New Roman" w:hAnsi="Arial" w:cs="Arial"/>
          <w:color w:val="724128"/>
          <w:sz w:val="25"/>
          <w:szCs w:val="25"/>
        </w:rPr>
        <w:t> and derivatives in bone destruction therapy</w:t>
      </w:r>
    </w:p>
    <w:p w:rsidR="00A0258B" w:rsidRPr="00A0258B" w:rsidRDefault="00A0258B" w:rsidP="00A0258B">
      <w:pPr>
        <w:shd w:val="clear" w:color="auto" w:fill="FFFFFF"/>
        <w:spacing w:before="166" w:after="166"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The use of glucosteroid has been shown to have some side effects on osteonecrosis and bone loss in which progression oxidative stress is implicated. Inhibiting the stress may be a promising strategy to solve this issue. It was shown that administration of an anti-oxidant vitamin E decreased the incidence of corticosteroid-induced osteonecrosis in a rabbit model (</w:t>
      </w:r>
      <w:hyperlink r:id="rId88" w:anchor="R66" w:history="1">
        <w:r w:rsidRPr="00A0258B">
          <w:rPr>
            <w:rFonts w:ascii="Times New Roman" w:eastAsia="Times New Roman" w:hAnsi="Times New Roman" w:cs="Times New Roman"/>
            <w:color w:val="642A8F"/>
            <w:sz w:val="25"/>
            <w:szCs w:val="25"/>
            <w:u w:val="single"/>
          </w:rPr>
          <w:t>66</w:t>
        </w:r>
      </w:hyperlink>
      <w:r w:rsidRPr="00A0258B">
        <w:rPr>
          <w:rFonts w:ascii="Times New Roman" w:eastAsia="Times New Roman" w:hAnsi="Times New Roman" w:cs="Times New Roman"/>
          <w:color w:val="000000"/>
          <w:sz w:val="25"/>
          <w:szCs w:val="25"/>
        </w:rPr>
        <w:t>). Liu et al. (</w:t>
      </w:r>
      <w:hyperlink r:id="rId89" w:anchor="R67" w:history="1">
        <w:r w:rsidRPr="00A0258B">
          <w:rPr>
            <w:rFonts w:ascii="Times New Roman" w:eastAsia="Times New Roman" w:hAnsi="Times New Roman" w:cs="Times New Roman"/>
            <w:color w:val="642A8F"/>
            <w:sz w:val="25"/>
            <w:szCs w:val="25"/>
            <w:u w:val="single"/>
          </w:rPr>
          <w:t>67</w:t>
        </w:r>
      </w:hyperlink>
      <w:r w:rsidRPr="00A0258B">
        <w:rPr>
          <w:rFonts w:ascii="Times New Roman" w:eastAsia="Times New Roman" w:hAnsi="Times New Roman" w:cs="Times New Roman"/>
          <w:color w:val="000000"/>
          <w:sz w:val="25"/>
          <w:szCs w:val="25"/>
        </w:rPr>
        <w:t>) went further in this field with the application of a more stable anti-oxidant fullerol. Their </w:t>
      </w:r>
      <w:r w:rsidRPr="00A0258B">
        <w:rPr>
          <w:rFonts w:ascii="Times New Roman" w:eastAsia="Times New Roman" w:hAnsi="Times New Roman" w:cs="Times New Roman"/>
          <w:i/>
          <w:iCs/>
          <w:color w:val="000000"/>
          <w:sz w:val="25"/>
          <w:szCs w:val="25"/>
        </w:rPr>
        <w:t>in vitro</w:t>
      </w:r>
      <w:r w:rsidRPr="00A0258B">
        <w:rPr>
          <w:rFonts w:ascii="Times New Roman" w:eastAsia="Times New Roman" w:hAnsi="Times New Roman" w:cs="Times New Roman"/>
          <w:color w:val="000000"/>
          <w:sz w:val="25"/>
          <w:szCs w:val="25"/>
        </w:rPr>
        <w:t> study showed that fullerol nanoparticles inhibited adipogenesis and simultaneously enhanced osteogenesis in a bone marrow mesenchymal stem cell line under dexamethasone induction. Further </w:t>
      </w:r>
      <w:r w:rsidRPr="00A0258B">
        <w:rPr>
          <w:rFonts w:ascii="Times New Roman" w:eastAsia="Times New Roman" w:hAnsi="Times New Roman" w:cs="Times New Roman"/>
          <w:i/>
          <w:iCs/>
          <w:color w:val="000000"/>
          <w:sz w:val="25"/>
          <w:szCs w:val="25"/>
        </w:rPr>
        <w:t>in vivo</w:t>
      </w:r>
      <w:r w:rsidRPr="00A0258B">
        <w:rPr>
          <w:rFonts w:ascii="Times New Roman" w:eastAsia="Times New Roman" w:hAnsi="Times New Roman" w:cs="Times New Roman"/>
          <w:color w:val="000000"/>
          <w:sz w:val="25"/>
          <w:szCs w:val="25"/>
        </w:rPr>
        <w:t> studies are needed to confirm the osteogenesis-enhancing potentials of fullerol as a therapeutic agent for glucosteroid-induced osteonecrosis treatment.</w:t>
      </w:r>
    </w:p>
    <w:p w:rsidR="00A0258B" w:rsidRPr="00A0258B" w:rsidRDefault="00A0258B" w:rsidP="00A0258B">
      <w:pPr>
        <w:shd w:val="clear" w:color="auto" w:fill="FFFFFF"/>
        <w:spacing w:before="166" w:after="166"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lastRenderedPageBreak/>
        <w:t>The hyper-resorption of bone by osteoclasts is another reason for bone destruction. Yudoh et al. (</w:t>
      </w:r>
      <w:hyperlink r:id="rId90" w:anchor="R13" w:history="1">
        <w:r w:rsidRPr="00A0258B">
          <w:rPr>
            <w:rFonts w:ascii="Times New Roman" w:eastAsia="Times New Roman" w:hAnsi="Times New Roman" w:cs="Times New Roman"/>
            <w:color w:val="642A8F"/>
            <w:sz w:val="25"/>
            <w:szCs w:val="25"/>
            <w:u w:val="single"/>
          </w:rPr>
          <w:t>13</w:t>
        </w:r>
      </w:hyperlink>
      <w:r w:rsidRPr="00A0258B">
        <w:rPr>
          <w:rFonts w:ascii="Times New Roman" w:eastAsia="Times New Roman" w:hAnsi="Times New Roman" w:cs="Times New Roman"/>
          <w:color w:val="000000"/>
          <w:sz w:val="25"/>
          <w:szCs w:val="25"/>
        </w:rPr>
        <w:t>) found that water-soluble C</w:t>
      </w:r>
      <w:r w:rsidRPr="00A0258B">
        <w:rPr>
          <w:rFonts w:ascii="Times New Roman" w:eastAsia="Times New Roman" w:hAnsi="Times New Roman" w:cs="Times New Roman"/>
          <w:color w:val="000000"/>
          <w:sz w:val="21"/>
          <w:szCs w:val="21"/>
          <w:vertAlign w:val="subscript"/>
        </w:rPr>
        <w:t>60</w:t>
      </w:r>
      <w:r w:rsidRPr="00A0258B">
        <w:rPr>
          <w:rFonts w:ascii="Times New Roman" w:eastAsia="Times New Roman" w:hAnsi="Times New Roman" w:cs="Times New Roman"/>
          <w:color w:val="000000"/>
          <w:sz w:val="25"/>
          <w:szCs w:val="25"/>
        </w:rPr>
        <w:t> prohibited the differentiation of precursor cells into osteoclasts and osteoclastic resorption </w:t>
      </w:r>
      <w:r w:rsidRPr="00A0258B">
        <w:rPr>
          <w:rFonts w:ascii="Times New Roman" w:eastAsia="Times New Roman" w:hAnsi="Times New Roman" w:cs="Times New Roman"/>
          <w:i/>
          <w:iCs/>
          <w:color w:val="000000"/>
          <w:sz w:val="25"/>
          <w:szCs w:val="25"/>
        </w:rPr>
        <w:t>in vitro</w:t>
      </w:r>
      <w:r w:rsidRPr="00A0258B">
        <w:rPr>
          <w:rFonts w:ascii="Times New Roman" w:eastAsia="Times New Roman" w:hAnsi="Times New Roman" w:cs="Times New Roman"/>
          <w:color w:val="000000"/>
          <w:sz w:val="25"/>
          <w:szCs w:val="25"/>
        </w:rPr>
        <w:t> through inhibition of receptor activator of NFκB (RANK)-RANK ligand (RANKL) signaling pathway by direct removal of ROS as well as suppressing the production of proinflammatory cytokines. Furthermore, in their adjuvant-induced arthritic bone resorption rat model, intra-articular injection of C</w:t>
      </w:r>
      <w:r w:rsidRPr="00A0258B">
        <w:rPr>
          <w:rFonts w:ascii="Times New Roman" w:eastAsia="Times New Roman" w:hAnsi="Times New Roman" w:cs="Times New Roman"/>
          <w:color w:val="000000"/>
          <w:sz w:val="21"/>
          <w:szCs w:val="21"/>
          <w:vertAlign w:val="subscript"/>
        </w:rPr>
        <w:t>60</w:t>
      </w:r>
      <w:r w:rsidRPr="00A0258B">
        <w:rPr>
          <w:rFonts w:ascii="Times New Roman" w:eastAsia="Times New Roman" w:hAnsi="Times New Roman" w:cs="Times New Roman"/>
          <w:color w:val="000000"/>
          <w:sz w:val="25"/>
          <w:szCs w:val="25"/>
        </w:rPr>
        <w:t> significantly inhibited local inflammation and joint destruction. Therefore, C</w:t>
      </w:r>
      <w:r w:rsidRPr="00A0258B">
        <w:rPr>
          <w:rFonts w:ascii="Times New Roman" w:eastAsia="Times New Roman" w:hAnsi="Times New Roman" w:cs="Times New Roman"/>
          <w:color w:val="000000"/>
          <w:sz w:val="21"/>
          <w:szCs w:val="21"/>
          <w:vertAlign w:val="subscript"/>
        </w:rPr>
        <w:t>60</w:t>
      </w:r>
      <w:r w:rsidRPr="00A0258B">
        <w:rPr>
          <w:rFonts w:ascii="Times New Roman" w:eastAsia="Times New Roman" w:hAnsi="Times New Roman" w:cs="Times New Roman"/>
          <w:color w:val="000000"/>
          <w:sz w:val="25"/>
          <w:szCs w:val="25"/>
        </w:rPr>
        <w:t> showed another novel feature from the other side to prevent bone destruction by osteoclastic suppression and inflammation inhibition.</w:t>
      </w:r>
    </w:p>
    <w:p w:rsidR="00A0258B" w:rsidRPr="00A0258B" w:rsidRDefault="00A0258B" w:rsidP="00A0258B">
      <w:pPr>
        <w:shd w:val="clear" w:color="auto" w:fill="FFFFFF"/>
        <w:spacing w:before="166" w:after="166" w:line="240" w:lineRule="auto"/>
        <w:rPr>
          <w:rFonts w:ascii="Times New Roman" w:eastAsia="Times New Roman" w:hAnsi="Times New Roman" w:cs="Times New Roman"/>
          <w:color w:val="000000"/>
          <w:sz w:val="25"/>
          <w:szCs w:val="25"/>
        </w:rPr>
      </w:pPr>
      <w:hyperlink r:id="rId91" w:tgtFrame="figure" w:history="1">
        <w:r w:rsidRPr="00A0258B">
          <w:rPr>
            <w:rFonts w:ascii="Times New Roman" w:eastAsia="Times New Roman" w:hAnsi="Times New Roman" w:cs="Times New Roman"/>
            <w:color w:val="642A8F"/>
            <w:sz w:val="25"/>
            <w:szCs w:val="25"/>
            <w:u w:val="single"/>
          </w:rPr>
          <w:t>Figure 4</w:t>
        </w:r>
      </w:hyperlink>
      <w:r w:rsidRPr="00A0258B">
        <w:rPr>
          <w:rFonts w:ascii="Times New Roman" w:eastAsia="Times New Roman" w:hAnsi="Times New Roman" w:cs="Times New Roman"/>
          <w:color w:val="000000"/>
          <w:sz w:val="25"/>
          <w:szCs w:val="25"/>
        </w:rPr>
        <w:t> shows the strategy to treat bone destruction with C</w:t>
      </w:r>
      <w:r w:rsidRPr="00A0258B">
        <w:rPr>
          <w:rFonts w:ascii="Times New Roman" w:eastAsia="Times New Roman" w:hAnsi="Times New Roman" w:cs="Times New Roman"/>
          <w:color w:val="000000"/>
          <w:sz w:val="21"/>
          <w:szCs w:val="21"/>
          <w:vertAlign w:val="subscript"/>
        </w:rPr>
        <w:t>60</w:t>
      </w:r>
      <w:r w:rsidRPr="00A0258B">
        <w:rPr>
          <w:rFonts w:ascii="Times New Roman" w:eastAsia="Times New Roman" w:hAnsi="Times New Roman" w:cs="Times New Roman"/>
          <w:color w:val="000000"/>
          <w:sz w:val="25"/>
          <w:szCs w:val="25"/>
        </w:rPr>
        <w:t> and derivatives by both promoting osteogenesis and suppressing osteoclastogenesis.</w:t>
      </w:r>
    </w:p>
    <w:p w:rsidR="00A0258B" w:rsidRPr="00A0258B" w:rsidRDefault="00A0258B" w:rsidP="00A0258B">
      <w:pPr>
        <w:shd w:val="clear" w:color="auto" w:fill="FFFCF0"/>
        <w:spacing w:after="0" w:line="240" w:lineRule="auto"/>
        <w:jc w:val="center"/>
        <w:rPr>
          <w:rFonts w:ascii="Times New Roman" w:eastAsia="Times New Roman" w:hAnsi="Times New Roman" w:cs="Times New Roman"/>
          <w:color w:val="642A8F"/>
          <w:sz w:val="24"/>
          <w:szCs w:val="24"/>
          <w:bdr w:val="none" w:sz="0" w:space="0" w:color="auto" w:frame="1"/>
        </w:rPr>
      </w:pPr>
      <w:r w:rsidRPr="00A0258B">
        <w:rPr>
          <w:rFonts w:ascii="Times New Roman" w:eastAsia="Times New Roman" w:hAnsi="Times New Roman" w:cs="Times New Roman"/>
          <w:color w:val="000000"/>
          <w:sz w:val="25"/>
          <w:szCs w:val="25"/>
        </w:rPr>
        <w:fldChar w:fldCharType="begin"/>
      </w:r>
      <w:r w:rsidRPr="00A0258B">
        <w:rPr>
          <w:rFonts w:ascii="Times New Roman" w:eastAsia="Times New Roman" w:hAnsi="Times New Roman" w:cs="Times New Roman"/>
          <w:color w:val="000000"/>
          <w:sz w:val="25"/>
          <w:szCs w:val="25"/>
        </w:rPr>
        <w:instrText xml:space="preserve"> HYPERLINK "https://www.ncbi.nlm.nih.gov/core/lw/2.0/html/tileshop_pmc/tileshop_pmc_inline.html?title=Click%20on%20image%20to%20zoom&amp;p=PMC3&amp;id=4124742_nihms608096f4.jpg" \t "tileshopwindow" </w:instrText>
      </w:r>
      <w:r w:rsidRPr="00A0258B">
        <w:rPr>
          <w:rFonts w:ascii="Times New Roman" w:eastAsia="Times New Roman" w:hAnsi="Times New Roman" w:cs="Times New Roman"/>
          <w:color w:val="000000"/>
          <w:sz w:val="25"/>
          <w:szCs w:val="25"/>
        </w:rPr>
        <w:fldChar w:fldCharType="separate"/>
      </w:r>
    </w:p>
    <w:p w:rsidR="00A0258B" w:rsidRPr="00A0258B" w:rsidRDefault="00A0258B" w:rsidP="00A0258B">
      <w:pPr>
        <w:shd w:val="clear" w:color="auto" w:fill="FFFCF0"/>
        <w:spacing w:line="240" w:lineRule="auto"/>
        <w:jc w:val="center"/>
        <w:rPr>
          <w:rFonts w:ascii="Times New Roman" w:eastAsia="Times New Roman" w:hAnsi="Times New Roman" w:cs="Times New Roman"/>
          <w:color w:val="000000"/>
          <w:sz w:val="24"/>
          <w:szCs w:val="24"/>
        </w:rPr>
      </w:pPr>
      <w:r w:rsidRPr="00A0258B">
        <w:rPr>
          <w:rFonts w:ascii="Times New Roman" w:eastAsia="Times New Roman" w:hAnsi="Times New Roman" w:cs="Times New Roman"/>
          <w:noProof/>
          <w:color w:val="642A8F"/>
          <w:sz w:val="25"/>
          <w:szCs w:val="25"/>
          <w:bdr w:val="none" w:sz="0" w:space="0" w:color="auto" w:frame="1"/>
        </w:rPr>
        <w:drawing>
          <wp:inline distT="0" distB="0" distL="0" distR="0" wp14:anchorId="4B4F0B9E" wp14:editId="5DFCBD52">
            <wp:extent cx="5724525" cy="4238625"/>
            <wp:effectExtent l="0" t="0" r="9525" b="9525"/>
            <wp:docPr id="4" name="Picture 4" descr="An external file that holds a picture, illustration, etc.&#10;Object name is nihms608096f4.jpg">
              <a:hlinkClick xmlns:a="http://schemas.openxmlformats.org/drawingml/2006/main" r:id="rId92" tgtFrame="&quot;tileshop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 external file that holds a picture, illustration, etc.&#10;Object name is nihms608096f4.jpg">
                      <a:hlinkClick r:id="rId92" tgtFrame="&quot;tileshopwindow&quot;"/>
                    </pic:cNvPr>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5724525" cy="4238625"/>
                    </a:xfrm>
                    <a:prstGeom prst="rect">
                      <a:avLst/>
                    </a:prstGeom>
                    <a:noFill/>
                    <a:ln>
                      <a:noFill/>
                    </a:ln>
                  </pic:spPr>
                </pic:pic>
              </a:graphicData>
            </a:graphic>
          </wp:inline>
        </w:drawing>
      </w:r>
      <w:r w:rsidRPr="00A0258B">
        <w:rPr>
          <w:rFonts w:ascii="Times New Roman" w:eastAsia="Times New Roman" w:hAnsi="Times New Roman" w:cs="Times New Roman"/>
          <w:color w:val="000000"/>
          <w:sz w:val="25"/>
          <w:szCs w:val="25"/>
        </w:rPr>
        <w:fldChar w:fldCharType="end"/>
      </w:r>
    </w:p>
    <w:p w:rsidR="00A0258B" w:rsidRPr="00A0258B" w:rsidRDefault="00A0258B" w:rsidP="00A0258B">
      <w:pPr>
        <w:shd w:val="clear" w:color="auto" w:fill="FFFCF0"/>
        <w:spacing w:after="0" w:line="240" w:lineRule="auto"/>
        <w:textAlignment w:val="top"/>
        <w:rPr>
          <w:rFonts w:ascii="Times New Roman" w:eastAsia="Times New Roman" w:hAnsi="Times New Roman" w:cs="Times New Roman"/>
          <w:color w:val="666666"/>
          <w:sz w:val="23"/>
          <w:szCs w:val="23"/>
        </w:rPr>
      </w:pPr>
      <w:hyperlink r:id="rId94" w:tgtFrame="figure" w:history="1">
        <w:r w:rsidRPr="00A0258B">
          <w:rPr>
            <w:rFonts w:ascii="Times New Roman" w:eastAsia="Times New Roman" w:hAnsi="Times New Roman" w:cs="Times New Roman"/>
            <w:color w:val="642A8F"/>
            <w:sz w:val="23"/>
            <w:szCs w:val="23"/>
            <w:u w:val="single"/>
          </w:rPr>
          <w:t>Figure 4</w:t>
        </w:r>
      </w:hyperlink>
    </w:p>
    <w:p w:rsidR="00A0258B" w:rsidRPr="00A0258B" w:rsidRDefault="00A0258B" w:rsidP="00A0258B">
      <w:pPr>
        <w:shd w:val="clear" w:color="auto" w:fill="FFFCF0"/>
        <w:spacing w:before="166" w:line="240" w:lineRule="auto"/>
        <w:textAlignment w:val="top"/>
        <w:rPr>
          <w:rFonts w:ascii="Times New Roman" w:eastAsia="Times New Roman" w:hAnsi="Times New Roman" w:cs="Times New Roman"/>
          <w:color w:val="666666"/>
          <w:sz w:val="23"/>
          <w:szCs w:val="23"/>
        </w:rPr>
      </w:pPr>
      <w:r w:rsidRPr="00A0258B">
        <w:rPr>
          <w:rFonts w:ascii="Times New Roman" w:eastAsia="Times New Roman" w:hAnsi="Times New Roman" w:cs="Times New Roman"/>
          <w:color w:val="666666"/>
          <w:sz w:val="23"/>
          <w:szCs w:val="23"/>
        </w:rPr>
        <w:t>The strategy to treat bone destruction with C</w:t>
      </w:r>
      <w:r w:rsidRPr="00A0258B">
        <w:rPr>
          <w:rFonts w:ascii="Times New Roman" w:eastAsia="Times New Roman" w:hAnsi="Times New Roman" w:cs="Times New Roman"/>
          <w:color w:val="666666"/>
          <w:sz w:val="20"/>
          <w:szCs w:val="20"/>
          <w:vertAlign w:val="subscript"/>
        </w:rPr>
        <w:t>60</w:t>
      </w:r>
      <w:r w:rsidRPr="00A0258B">
        <w:rPr>
          <w:rFonts w:ascii="Times New Roman" w:eastAsia="Times New Roman" w:hAnsi="Times New Roman" w:cs="Times New Roman"/>
          <w:color w:val="666666"/>
          <w:sz w:val="23"/>
          <w:szCs w:val="23"/>
        </w:rPr>
        <w:t> and derivatives. C</w:t>
      </w:r>
      <w:r w:rsidRPr="00A0258B">
        <w:rPr>
          <w:rFonts w:ascii="Times New Roman" w:eastAsia="Times New Roman" w:hAnsi="Times New Roman" w:cs="Times New Roman"/>
          <w:color w:val="666666"/>
          <w:sz w:val="20"/>
          <w:szCs w:val="20"/>
          <w:vertAlign w:val="subscript"/>
        </w:rPr>
        <w:t>60</w:t>
      </w:r>
      <w:r w:rsidRPr="00A0258B">
        <w:rPr>
          <w:rFonts w:ascii="Times New Roman" w:eastAsia="Times New Roman" w:hAnsi="Times New Roman" w:cs="Times New Roman"/>
          <w:color w:val="666666"/>
          <w:sz w:val="23"/>
          <w:szCs w:val="23"/>
        </w:rPr>
        <w:t> and derivatives enhance osteogenesis by increasing osteogenic gene expression, and suppress osteoclastogenesis through inhibition of receptor activator of NFκB (RANK)-RANK ligand (RANKL) signaling pathway by direct removal of ROS as well as suppressing the production of proinflammatory cytokines.</w:t>
      </w:r>
    </w:p>
    <w:p w:rsidR="00A0258B" w:rsidRPr="00A0258B" w:rsidRDefault="00A0258B" w:rsidP="00A0258B">
      <w:pPr>
        <w:shd w:val="clear" w:color="auto" w:fill="FFFFFF"/>
        <w:spacing w:before="166" w:after="166"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Osteoporosis is a systemic skeletal disorder characterized by reduced bone mineral density, microarchitectural deterioration of the skeleton and increased risk of fracture (</w:t>
      </w:r>
      <w:hyperlink r:id="rId95" w:anchor="R68" w:history="1">
        <w:r w:rsidRPr="00A0258B">
          <w:rPr>
            <w:rFonts w:ascii="Times New Roman" w:eastAsia="Times New Roman" w:hAnsi="Times New Roman" w:cs="Times New Roman"/>
            <w:color w:val="642A8F"/>
            <w:sz w:val="25"/>
            <w:szCs w:val="25"/>
            <w:u w:val="single"/>
          </w:rPr>
          <w:t>68</w:t>
        </w:r>
      </w:hyperlink>
      <w:r w:rsidRPr="00A0258B">
        <w:rPr>
          <w:rFonts w:ascii="Times New Roman" w:eastAsia="Times New Roman" w:hAnsi="Times New Roman" w:cs="Times New Roman"/>
          <w:color w:val="000000"/>
          <w:sz w:val="25"/>
          <w:szCs w:val="25"/>
        </w:rPr>
        <w:t xml:space="preserve">). The </w:t>
      </w:r>
      <w:r w:rsidRPr="00A0258B">
        <w:rPr>
          <w:rFonts w:ascii="Times New Roman" w:eastAsia="Times New Roman" w:hAnsi="Times New Roman" w:cs="Times New Roman"/>
          <w:color w:val="000000"/>
          <w:sz w:val="25"/>
          <w:szCs w:val="25"/>
        </w:rPr>
        <w:lastRenderedPageBreak/>
        <w:t>traditional agents for osteoporosis treatment, such as bisphosphonate drugs and fluorine anion (N</w:t>
      </w:r>
      <w:r w:rsidRPr="00A0258B">
        <w:rPr>
          <w:rFonts w:ascii="Times New Roman" w:eastAsia="Times New Roman" w:hAnsi="Times New Roman" w:cs="Times New Roman"/>
          <w:color w:val="000000"/>
          <w:sz w:val="21"/>
          <w:szCs w:val="21"/>
          <w:vertAlign w:val="subscript"/>
        </w:rPr>
        <w:t>a</w:t>
      </w:r>
      <w:r w:rsidRPr="00A0258B">
        <w:rPr>
          <w:rFonts w:ascii="Times New Roman" w:eastAsia="Times New Roman" w:hAnsi="Times New Roman" w:cs="Times New Roman"/>
          <w:color w:val="000000"/>
          <w:sz w:val="25"/>
          <w:szCs w:val="25"/>
        </w:rPr>
        <w:t>F), are either not efficiently absorbed in the gastrointestinal tract or fairly toxic, if orally administered (</w:t>
      </w:r>
      <w:hyperlink r:id="rId96" w:anchor="R6" w:history="1">
        <w:r w:rsidRPr="00A0258B">
          <w:rPr>
            <w:rFonts w:ascii="Times New Roman" w:eastAsia="Times New Roman" w:hAnsi="Times New Roman" w:cs="Times New Roman"/>
            <w:color w:val="642A8F"/>
            <w:sz w:val="25"/>
            <w:szCs w:val="25"/>
            <w:u w:val="single"/>
          </w:rPr>
          <w:t>6</w:t>
        </w:r>
      </w:hyperlink>
      <w:r w:rsidRPr="00A0258B">
        <w:rPr>
          <w:rFonts w:ascii="Times New Roman" w:eastAsia="Times New Roman" w:hAnsi="Times New Roman" w:cs="Times New Roman"/>
          <w:color w:val="000000"/>
          <w:sz w:val="25"/>
          <w:szCs w:val="25"/>
        </w:rPr>
        <w:t>). Thus, the vectored pharmaceuticals targeted at destructive bone tissue may be promising in this field. As has been reported, functionalized with diphosphonate groups or amide bisphosphonate and multiple hydroxyl groups, the C</w:t>
      </w:r>
      <w:r w:rsidRPr="00A0258B">
        <w:rPr>
          <w:rFonts w:ascii="Times New Roman" w:eastAsia="Times New Roman" w:hAnsi="Times New Roman" w:cs="Times New Roman"/>
          <w:color w:val="000000"/>
          <w:sz w:val="21"/>
          <w:szCs w:val="21"/>
          <w:vertAlign w:val="subscript"/>
        </w:rPr>
        <w:t>60</w:t>
      </w:r>
      <w:r w:rsidRPr="00A0258B">
        <w:rPr>
          <w:rFonts w:ascii="Times New Roman" w:eastAsia="Times New Roman" w:hAnsi="Times New Roman" w:cs="Times New Roman"/>
          <w:color w:val="000000"/>
          <w:sz w:val="25"/>
          <w:szCs w:val="25"/>
        </w:rPr>
        <w:t>derivatives C</w:t>
      </w:r>
      <w:r w:rsidRPr="00A0258B">
        <w:rPr>
          <w:rFonts w:ascii="Times New Roman" w:eastAsia="Times New Roman" w:hAnsi="Times New Roman" w:cs="Times New Roman"/>
          <w:color w:val="000000"/>
          <w:sz w:val="21"/>
          <w:szCs w:val="21"/>
          <w:vertAlign w:val="subscript"/>
        </w:rPr>
        <w:t>60</w:t>
      </w:r>
      <w:r w:rsidRPr="00A0258B">
        <w:rPr>
          <w:rFonts w:ascii="Times New Roman" w:eastAsia="Times New Roman" w:hAnsi="Times New Roman" w:cs="Times New Roman"/>
          <w:color w:val="000000"/>
          <w:sz w:val="25"/>
          <w:szCs w:val="25"/>
        </w:rPr>
        <w:t>[C(PO</w:t>
      </w:r>
      <w:r w:rsidRPr="00A0258B">
        <w:rPr>
          <w:rFonts w:ascii="Times New Roman" w:eastAsia="Times New Roman" w:hAnsi="Times New Roman" w:cs="Times New Roman"/>
          <w:color w:val="000000"/>
          <w:sz w:val="21"/>
          <w:szCs w:val="21"/>
          <w:vertAlign w:val="subscript"/>
        </w:rPr>
        <w:t>3</w:t>
      </w:r>
      <w:r w:rsidRPr="00A0258B">
        <w:rPr>
          <w:rFonts w:ascii="Times New Roman" w:eastAsia="Times New Roman" w:hAnsi="Times New Roman" w:cs="Times New Roman"/>
          <w:color w:val="000000"/>
          <w:sz w:val="25"/>
          <w:szCs w:val="25"/>
        </w:rPr>
        <w:t>H</w:t>
      </w:r>
      <w:r w:rsidRPr="00A0258B">
        <w:rPr>
          <w:rFonts w:ascii="Times New Roman" w:eastAsia="Times New Roman" w:hAnsi="Times New Roman" w:cs="Times New Roman"/>
          <w:color w:val="000000"/>
          <w:sz w:val="21"/>
          <w:szCs w:val="21"/>
          <w:vertAlign w:val="subscript"/>
        </w:rPr>
        <w:t>2</w:t>
      </w:r>
      <w:r w:rsidRPr="00A0258B">
        <w:rPr>
          <w:rFonts w:ascii="Times New Roman" w:eastAsia="Times New Roman" w:hAnsi="Times New Roman" w:cs="Times New Roman"/>
          <w:color w:val="000000"/>
          <w:sz w:val="25"/>
          <w:szCs w:val="25"/>
        </w:rPr>
        <w:t>)</w:t>
      </w:r>
      <w:r w:rsidRPr="00A0258B">
        <w:rPr>
          <w:rFonts w:ascii="Times New Roman" w:eastAsia="Times New Roman" w:hAnsi="Times New Roman" w:cs="Times New Roman"/>
          <w:color w:val="000000"/>
          <w:sz w:val="21"/>
          <w:szCs w:val="21"/>
          <w:vertAlign w:val="subscript"/>
        </w:rPr>
        <w:t>2</w:t>
      </w:r>
      <w:r w:rsidRPr="00A0258B">
        <w:rPr>
          <w:rFonts w:ascii="Times New Roman" w:eastAsia="Times New Roman" w:hAnsi="Times New Roman" w:cs="Times New Roman"/>
          <w:color w:val="000000"/>
          <w:sz w:val="25"/>
          <w:szCs w:val="25"/>
        </w:rPr>
        <w:t>]</w:t>
      </w:r>
      <w:r w:rsidRPr="00A0258B">
        <w:rPr>
          <w:rFonts w:ascii="Times New Roman" w:eastAsia="Times New Roman" w:hAnsi="Times New Roman" w:cs="Times New Roman"/>
          <w:color w:val="000000"/>
          <w:sz w:val="21"/>
          <w:szCs w:val="21"/>
          <w:vertAlign w:val="subscript"/>
        </w:rPr>
        <w:t>2</w:t>
      </w:r>
      <w:r w:rsidRPr="00A0258B">
        <w:rPr>
          <w:rFonts w:ascii="Times New Roman" w:eastAsia="Times New Roman" w:hAnsi="Times New Roman" w:cs="Times New Roman"/>
          <w:color w:val="000000"/>
          <w:sz w:val="25"/>
          <w:szCs w:val="25"/>
        </w:rPr>
        <w:t> (</w:t>
      </w:r>
      <w:hyperlink r:id="rId97" w:anchor="R69" w:history="1">
        <w:r w:rsidRPr="00A0258B">
          <w:rPr>
            <w:rFonts w:ascii="Times New Roman" w:eastAsia="Times New Roman" w:hAnsi="Times New Roman" w:cs="Times New Roman"/>
            <w:color w:val="642A8F"/>
            <w:sz w:val="25"/>
            <w:szCs w:val="25"/>
            <w:u w:val="single"/>
          </w:rPr>
          <w:t>69</w:t>
        </w:r>
      </w:hyperlink>
      <w:r w:rsidRPr="00A0258B">
        <w:rPr>
          <w:rFonts w:ascii="Times New Roman" w:eastAsia="Times New Roman" w:hAnsi="Times New Roman" w:cs="Times New Roman"/>
          <w:color w:val="000000"/>
          <w:sz w:val="25"/>
          <w:szCs w:val="25"/>
        </w:rPr>
        <w:t>) and C</w:t>
      </w:r>
      <w:r w:rsidRPr="00A0258B">
        <w:rPr>
          <w:rFonts w:ascii="Times New Roman" w:eastAsia="Times New Roman" w:hAnsi="Times New Roman" w:cs="Times New Roman"/>
          <w:color w:val="000000"/>
          <w:sz w:val="21"/>
          <w:szCs w:val="21"/>
          <w:vertAlign w:val="subscript"/>
        </w:rPr>
        <w:t>60</w:t>
      </w:r>
      <w:r w:rsidRPr="00A0258B">
        <w:rPr>
          <w:rFonts w:ascii="Times New Roman" w:eastAsia="Times New Roman" w:hAnsi="Times New Roman" w:cs="Times New Roman"/>
          <w:color w:val="000000"/>
          <w:sz w:val="25"/>
          <w:szCs w:val="25"/>
        </w:rPr>
        <w:t>(OH)</w:t>
      </w:r>
      <w:r w:rsidRPr="00A0258B">
        <w:rPr>
          <w:rFonts w:ascii="Times New Roman" w:eastAsia="Times New Roman" w:hAnsi="Times New Roman" w:cs="Times New Roman"/>
          <w:color w:val="000000"/>
          <w:sz w:val="21"/>
          <w:szCs w:val="21"/>
          <w:vertAlign w:val="subscript"/>
        </w:rPr>
        <w:t>16</w:t>
      </w:r>
      <w:r w:rsidRPr="00A0258B">
        <w:rPr>
          <w:rFonts w:ascii="Times New Roman" w:eastAsia="Times New Roman" w:hAnsi="Times New Roman" w:cs="Times New Roman"/>
          <w:color w:val="000000"/>
          <w:sz w:val="25"/>
          <w:szCs w:val="25"/>
        </w:rPr>
        <w:t>AMBP (</w:t>
      </w:r>
      <w:hyperlink r:id="rId98" w:anchor="R70" w:history="1">
        <w:r w:rsidRPr="00A0258B">
          <w:rPr>
            <w:rFonts w:ascii="Times New Roman" w:eastAsia="Times New Roman" w:hAnsi="Times New Roman" w:cs="Times New Roman"/>
            <w:color w:val="642A8F"/>
            <w:sz w:val="25"/>
            <w:szCs w:val="25"/>
            <w:u w:val="single"/>
          </w:rPr>
          <w:t>70</w:t>
        </w:r>
      </w:hyperlink>
      <w:r w:rsidRPr="00A0258B">
        <w:rPr>
          <w:rFonts w:ascii="Times New Roman" w:eastAsia="Times New Roman" w:hAnsi="Times New Roman" w:cs="Times New Roman"/>
          <w:color w:val="000000"/>
          <w:sz w:val="25"/>
          <w:szCs w:val="25"/>
        </w:rPr>
        <w:t>) conferred a strong affinity to the calcium phosphate mineral hydroxyapatite of bone. Therefore, the C</w:t>
      </w:r>
      <w:r w:rsidRPr="00A0258B">
        <w:rPr>
          <w:rFonts w:ascii="Times New Roman" w:eastAsia="Times New Roman" w:hAnsi="Times New Roman" w:cs="Times New Roman"/>
          <w:color w:val="000000"/>
          <w:sz w:val="21"/>
          <w:szCs w:val="21"/>
          <w:vertAlign w:val="subscript"/>
        </w:rPr>
        <w:t>60</w:t>
      </w:r>
      <w:r w:rsidRPr="00A0258B">
        <w:rPr>
          <w:rFonts w:ascii="Times New Roman" w:eastAsia="Times New Roman" w:hAnsi="Times New Roman" w:cs="Times New Roman"/>
          <w:color w:val="000000"/>
          <w:sz w:val="25"/>
          <w:szCs w:val="25"/>
        </w:rPr>
        <w:t>-based bone tissue targeted compound cores demonstrated a promising prospect to be conjugated with traditional bone promotion agents for osteoporosis treatment.</w:t>
      </w:r>
    </w:p>
    <w:p w:rsidR="00A0258B" w:rsidRPr="00A0258B" w:rsidRDefault="00A0258B" w:rsidP="00A0258B">
      <w:pPr>
        <w:shd w:val="clear" w:color="auto" w:fill="FFFFFF"/>
        <w:spacing w:before="308" w:after="154" w:line="300" w:lineRule="atLeast"/>
        <w:outlineLvl w:val="2"/>
        <w:rPr>
          <w:rFonts w:ascii="Arial" w:eastAsia="Times New Roman" w:hAnsi="Arial" w:cs="Arial"/>
          <w:color w:val="724128"/>
          <w:sz w:val="25"/>
          <w:szCs w:val="25"/>
        </w:rPr>
      </w:pPr>
      <w:r w:rsidRPr="00A0258B">
        <w:rPr>
          <w:rFonts w:ascii="Arial" w:eastAsia="Times New Roman" w:hAnsi="Arial" w:cs="Arial"/>
          <w:color w:val="724128"/>
          <w:sz w:val="25"/>
          <w:szCs w:val="25"/>
        </w:rPr>
        <w:t>C</w:t>
      </w:r>
      <w:r w:rsidRPr="00A0258B">
        <w:rPr>
          <w:rFonts w:ascii="Arial" w:eastAsia="Times New Roman" w:hAnsi="Arial" w:cs="Arial"/>
          <w:color w:val="724128"/>
          <w:sz w:val="21"/>
          <w:szCs w:val="21"/>
          <w:vertAlign w:val="subscript"/>
        </w:rPr>
        <w:t>60</w:t>
      </w:r>
      <w:r w:rsidRPr="00A0258B">
        <w:rPr>
          <w:rFonts w:ascii="Arial" w:eastAsia="Times New Roman" w:hAnsi="Arial" w:cs="Arial"/>
          <w:color w:val="724128"/>
          <w:sz w:val="25"/>
          <w:szCs w:val="25"/>
        </w:rPr>
        <w:t> and derivatives in IVDD therapy</w:t>
      </w:r>
    </w:p>
    <w:p w:rsidR="00A0258B" w:rsidRPr="00A0258B" w:rsidRDefault="00A0258B" w:rsidP="00A0258B">
      <w:pPr>
        <w:shd w:val="clear" w:color="auto" w:fill="FFFFFF"/>
        <w:spacing w:before="166" w:after="166"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Symptomatic IVDD is strongly implicated as a cause of low back pain (</w:t>
      </w:r>
      <w:hyperlink r:id="rId99" w:anchor="R71" w:history="1">
        <w:r w:rsidRPr="00A0258B">
          <w:rPr>
            <w:rFonts w:ascii="Times New Roman" w:eastAsia="Times New Roman" w:hAnsi="Times New Roman" w:cs="Times New Roman"/>
            <w:color w:val="642A8F"/>
            <w:sz w:val="25"/>
            <w:szCs w:val="25"/>
            <w:u w:val="single"/>
          </w:rPr>
          <w:t>71</w:t>
        </w:r>
      </w:hyperlink>
      <w:r w:rsidRPr="00A0258B">
        <w:rPr>
          <w:rFonts w:ascii="Times New Roman" w:eastAsia="Times New Roman" w:hAnsi="Times New Roman" w:cs="Times New Roman"/>
          <w:color w:val="000000"/>
          <w:sz w:val="25"/>
          <w:szCs w:val="25"/>
        </w:rPr>
        <w:t>,</w:t>
      </w:r>
      <w:hyperlink r:id="rId100" w:anchor="R72" w:history="1">
        <w:r w:rsidRPr="00A0258B">
          <w:rPr>
            <w:rFonts w:ascii="Times New Roman" w:eastAsia="Times New Roman" w:hAnsi="Times New Roman" w:cs="Times New Roman"/>
            <w:color w:val="642A8F"/>
            <w:sz w:val="25"/>
            <w:szCs w:val="25"/>
            <w:u w:val="single"/>
          </w:rPr>
          <w:t>72</w:t>
        </w:r>
      </w:hyperlink>
      <w:r w:rsidRPr="00A0258B">
        <w:rPr>
          <w:rFonts w:ascii="Times New Roman" w:eastAsia="Times New Roman" w:hAnsi="Times New Roman" w:cs="Times New Roman"/>
          <w:color w:val="000000"/>
          <w:sz w:val="25"/>
          <w:szCs w:val="25"/>
        </w:rPr>
        <w:t>), which is one of the most common clinical conditions associated with musculoskeletal disorders, resulting in tremendous socioeconomic burden (</w:t>
      </w:r>
      <w:hyperlink r:id="rId101" w:anchor="R73" w:history="1">
        <w:r w:rsidRPr="00A0258B">
          <w:rPr>
            <w:rFonts w:ascii="Times New Roman" w:eastAsia="Times New Roman" w:hAnsi="Times New Roman" w:cs="Times New Roman"/>
            <w:color w:val="642A8F"/>
            <w:sz w:val="25"/>
            <w:szCs w:val="25"/>
            <w:u w:val="single"/>
          </w:rPr>
          <w:t>73</w:t>
        </w:r>
      </w:hyperlink>
      <w:r w:rsidRPr="00A0258B">
        <w:rPr>
          <w:rFonts w:ascii="Times New Roman" w:eastAsia="Times New Roman" w:hAnsi="Times New Roman" w:cs="Times New Roman"/>
          <w:color w:val="000000"/>
          <w:sz w:val="25"/>
          <w:szCs w:val="25"/>
        </w:rPr>
        <w:t>,</w:t>
      </w:r>
      <w:hyperlink r:id="rId102" w:anchor="R74" w:history="1">
        <w:r w:rsidRPr="00A0258B">
          <w:rPr>
            <w:rFonts w:ascii="Times New Roman" w:eastAsia="Times New Roman" w:hAnsi="Times New Roman" w:cs="Times New Roman"/>
            <w:color w:val="642A8F"/>
            <w:sz w:val="25"/>
            <w:szCs w:val="25"/>
            <w:u w:val="single"/>
          </w:rPr>
          <w:t>74</w:t>
        </w:r>
      </w:hyperlink>
      <w:r w:rsidRPr="00A0258B">
        <w:rPr>
          <w:rFonts w:ascii="Times New Roman" w:eastAsia="Times New Roman" w:hAnsi="Times New Roman" w:cs="Times New Roman"/>
          <w:color w:val="000000"/>
          <w:sz w:val="25"/>
          <w:szCs w:val="25"/>
        </w:rPr>
        <w:t>). There is growing evidence indicating that mitochondrial-derived ROS play a causal role in driving changes linked to IVDD. The oxidative stress caused damage accumulates in degenerative discs. Free radical scavengers have been shown to play a potentially important role in preventing IVDD (</w:t>
      </w:r>
      <w:hyperlink r:id="rId103" w:anchor="R75" w:history="1">
        <w:r w:rsidRPr="00A0258B">
          <w:rPr>
            <w:rFonts w:ascii="Times New Roman" w:eastAsia="Times New Roman" w:hAnsi="Times New Roman" w:cs="Times New Roman"/>
            <w:color w:val="642A8F"/>
            <w:sz w:val="25"/>
            <w:szCs w:val="25"/>
            <w:u w:val="single"/>
          </w:rPr>
          <w:t>75</w:t>
        </w:r>
      </w:hyperlink>
      <w:r w:rsidRPr="00A0258B">
        <w:rPr>
          <w:rFonts w:ascii="Times New Roman" w:eastAsia="Times New Roman" w:hAnsi="Times New Roman" w:cs="Times New Roman"/>
          <w:color w:val="000000"/>
          <w:sz w:val="25"/>
          <w:szCs w:val="25"/>
        </w:rPr>
        <w:t>). Also, the degenerative discs exhibit higher proinflammatory cytokine levels (e.g. TNF-α, IL-1 β, IL-6, IL-8, IL-12, IL-17 and others) versus non-degenerative discs (</w:t>
      </w:r>
      <w:hyperlink r:id="rId104" w:anchor="R76" w:history="1">
        <w:r w:rsidRPr="00A0258B">
          <w:rPr>
            <w:rFonts w:ascii="Times New Roman" w:eastAsia="Times New Roman" w:hAnsi="Times New Roman" w:cs="Times New Roman"/>
            <w:color w:val="642A8F"/>
            <w:sz w:val="25"/>
            <w:szCs w:val="25"/>
            <w:u w:val="single"/>
          </w:rPr>
          <w:t>76</w:t>
        </w:r>
      </w:hyperlink>
      <w:r w:rsidRPr="00A0258B">
        <w:rPr>
          <w:rFonts w:ascii="Times New Roman" w:eastAsia="Times New Roman" w:hAnsi="Times New Roman" w:cs="Times New Roman"/>
          <w:color w:val="000000"/>
          <w:sz w:val="25"/>
          <w:szCs w:val="25"/>
        </w:rPr>
        <w:t>–</w:t>
      </w:r>
      <w:hyperlink r:id="rId105" w:anchor="R78" w:history="1">
        <w:r w:rsidRPr="00A0258B">
          <w:rPr>
            <w:rFonts w:ascii="Times New Roman" w:eastAsia="Times New Roman" w:hAnsi="Times New Roman" w:cs="Times New Roman"/>
            <w:color w:val="642A8F"/>
            <w:sz w:val="25"/>
            <w:szCs w:val="25"/>
            <w:u w:val="single"/>
          </w:rPr>
          <w:t>78</w:t>
        </w:r>
      </w:hyperlink>
      <w:r w:rsidRPr="00A0258B">
        <w:rPr>
          <w:rFonts w:ascii="Times New Roman" w:eastAsia="Times New Roman" w:hAnsi="Times New Roman" w:cs="Times New Roman"/>
          <w:color w:val="000000"/>
          <w:sz w:val="25"/>
          <w:szCs w:val="25"/>
        </w:rPr>
        <w:t>). Suppression of disc tissue inflammation is another strategy to prevent IVDD. C</w:t>
      </w:r>
      <w:r w:rsidRPr="00A0258B">
        <w:rPr>
          <w:rFonts w:ascii="Times New Roman" w:eastAsia="Times New Roman" w:hAnsi="Times New Roman" w:cs="Times New Roman"/>
          <w:color w:val="000000"/>
          <w:sz w:val="21"/>
          <w:szCs w:val="21"/>
          <w:vertAlign w:val="subscript"/>
        </w:rPr>
        <w:t>60</w:t>
      </w:r>
      <w:r w:rsidRPr="00A0258B">
        <w:rPr>
          <w:rFonts w:ascii="Times New Roman" w:eastAsia="Times New Roman" w:hAnsi="Times New Roman" w:cs="Times New Roman"/>
          <w:color w:val="000000"/>
          <w:sz w:val="25"/>
          <w:szCs w:val="25"/>
        </w:rPr>
        <w:t> and derivatives may be recruited in this strategy due to their anti-oxidant and anti-inflammatory features. Recently, we performed a pilot study to investigate the therapeutic effects of fullerol on nucleus pulpsus (NP) cells under inflammatory induction and annulus fibrosus puncture-induced disc degeneration in a rabbit model (manuscript under review). We found that fullerol effectively reversed the matrix degradation of NP cells under either H</w:t>
      </w:r>
      <w:r w:rsidRPr="00A0258B">
        <w:rPr>
          <w:rFonts w:ascii="Times New Roman" w:eastAsia="Times New Roman" w:hAnsi="Times New Roman" w:cs="Times New Roman"/>
          <w:color w:val="000000"/>
          <w:sz w:val="21"/>
          <w:szCs w:val="21"/>
          <w:vertAlign w:val="subscript"/>
        </w:rPr>
        <w:t>2</w:t>
      </w:r>
      <w:r w:rsidRPr="00A0258B">
        <w:rPr>
          <w:rFonts w:ascii="Times New Roman" w:eastAsia="Times New Roman" w:hAnsi="Times New Roman" w:cs="Times New Roman"/>
          <w:color w:val="000000"/>
          <w:sz w:val="25"/>
          <w:szCs w:val="25"/>
        </w:rPr>
        <w:t>O</w:t>
      </w:r>
      <w:r w:rsidRPr="00A0258B">
        <w:rPr>
          <w:rFonts w:ascii="Times New Roman" w:eastAsia="Times New Roman" w:hAnsi="Times New Roman" w:cs="Times New Roman"/>
          <w:color w:val="000000"/>
          <w:sz w:val="21"/>
          <w:szCs w:val="21"/>
          <w:vertAlign w:val="subscript"/>
        </w:rPr>
        <w:t>2</w:t>
      </w:r>
      <w:r w:rsidRPr="00A0258B">
        <w:rPr>
          <w:rFonts w:ascii="Times New Roman" w:eastAsia="Times New Roman" w:hAnsi="Times New Roman" w:cs="Times New Roman"/>
          <w:color w:val="000000"/>
          <w:sz w:val="25"/>
          <w:szCs w:val="25"/>
        </w:rPr>
        <w:t> or IL-1 β induction, and the intradiscal injection of fullerol prevented IVDD by increasing water and proteoglycan content as well as by inhibiting ectopic bone formation.</w:t>
      </w:r>
    </w:p>
    <w:p w:rsidR="00A0258B" w:rsidRPr="00A0258B" w:rsidRDefault="00A0258B" w:rsidP="00A0258B">
      <w:pPr>
        <w:shd w:val="clear" w:color="auto" w:fill="FFFFFF"/>
        <w:spacing w:before="308" w:after="154" w:line="300" w:lineRule="atLeast"/>
        <w:outlineLvl w:val="2"/>
        <w:rPr>
          <w:rFonts w:ascii="Arial" w:eastAsia="Times New Roman" w:hAnsi="Arial" w:cs="Arial"/>
          <w:color w:val="724128"/>
          <w:sz w:val="25"/>
          <w:szCs w:val="25"/>
        </w:rPr>
      </w:pPr>
      <w:r w:rsidRPr="00A0258B">
        <w:rPr>
          <w:rFonts w:ascii="Arial" w:eastAsia="Times New Roman" w:hAnsi="Arial" w:cs="Arial"/>
          <w:color w:val="724128"/>
          <w:sz w:val="25"/>
          <w:szCs w:val="25"/>
        </w:rPr>
        <w:t>C</w:t>
      </w:r>
      <w:r w:rsidRPr="00A0258B">
        <w:rPr>
          <w:rFonts w:ascii="Arial" w:eastAsia="Times New Roman" w:hAnsi="Arial" w:cs="Arial"/>
          <w:color w:val="724128"/>
          <w:sz w:val="21"/>
          <w:szCs w:val="21"/>
          <w:vertAlign w:val="subscript"/>
        </w:rPr>
        <w:t>60</w:t>
      </w:r>
      <w:r w:rsidRPr="00A0258B">
        <w:rPr>
          <w:rFonts w:ascii="Arial" w:eastAsia="Times New Roman" w:hAnsi="Arial" w:cs="Arial"/>
          <w:color w:val="724128"/>
          <w:sz w:val="25"/>
          <w:szCs w:val="25"/>
        </w:rPr>
        <w:t> and derivatives in vertebral bone marrow fatty degeneration and inflammatory edema treatment</w:t>
      </w:r>
    </w:p>
    <w:p w:rsidR="00A0258B" w:rsidRPr="00A0258B" w:rsidRDefault="00A0258B" w:rsidP="00A0258B">
      <w:pPr>
        <w:shd w:val="clear" w:color="auto" w:fill="FFFFFF"/>
        <w:spacing w:before="166" w:after="166"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As disc has a very close relationship with vertebral bone marrow and they are separated by a thin layer of endplate (</w:t>
      </w:r>
      <w:hyperlink r:id="rId106" w:anchor="R79" w:history="1">
        <w:r w:rsidRPr="00A0258B">
          <w:rPr>
            <w:rFonts w:ascii="Times New Roman" w:eastAsia="Times New Roman" w:hAnsi="Times New Roman" w:cs="Times New Roman"/>
            <w:color w:val="642A8F"/>
            <w:sz w:val="25"/>
            <w:szCs w:val="25"/>
            <w:u w:val="single"/>
          </w:rPr>
          <w:t>79</w:t>
        </w:r>
      </w:hyperlink>
      <w:r w:rsidRPr="00A0258B">
        <w:rPr>
          <w:rFonts w:ascii="Times New Roman" w:eastAsia="Times New Roman" w:hAnsi="Times New Roman" w:cs="Times New Roman"/>
          <w:color w:val="000000"/>
          <w:sz w:val="25"/>
          <w:szCs w:val="25"/>
        </w:rPr>
        <w:t>), IVDD is associated with the lesions of vertebral bone marrow as well. Fatty marrow replacement and inflammatory edema in IVDD can be detected by MRI with Modic Type II changes (</w:t>
      </w:r>
      <w:hyperlink r:id="rId107" w:anchor="R80" w:history="1">
        <w:r w:rsidRPr="00A0258B">
          <w:rPr>
            <w:rFonts w:ascii="Times New Roman" w:eastAsia="Times New Roman" w:hAnsi="Times New Roman" w:cs="Times New Roman"/>
            <w:color w:val="642A8F"/>
            <w:sz w:val="25"/>
            <w:szCs w:val="25"/>
            <w:u w:val="single"/>
          </w:rPr>
          <w:t>80</w:t>
        </w:r>
      </w:hyperlink>
      <w:r w:rsidRPr="00A0258B">
        <w:rPr>
          <w:rFonts w:ascii="Times New Roman" w:eastAsia="Times New Roman" w:hAnsi="Times New Roman" w:cs="Times New Roman"/>
          <w:color w:val="000000"/>
          <w:sz w:val="25"/>
          <w:szCs w:val="25"/>
        </w:rPr>
        <w:t>). Also, mature discs almost totally rely on diffusion of essential solutes through the marrow contact channels in the vertebral endplate for nutrition and metabolic exchange (</w:t>
      </w:r>
      <w:hyperlink r:id="rId108" w:anchor="R79" w:history="1">
        <w:r w:rsidRPr="00A0258B">
          <w:rPr>
            <w:rFonts w:ascii="Times New Roman" w:eastAsia="Times New Roman" w:hAnsi="Times New Roman" w:cs="Times New Roman"/>
            <w:color w:val="642A8F"/>
            <w:sz w:val="25"/>
            <w:szCs w:val="25"/>
            <w:u w:val="single"/>
          </w:rPr>
          <w:t>79</w:t>
        </w:r>
      </w:hyperlink>
      <w:r w:rsidRPr="00A0258B">
        <w:rPr>
          <w:rFonts w:ascii="Times New Roman" w:eastAsia="Times New Roman" w:hAnsi="Times New Roman" w:cs="Times New Roman"/>
          <w:color w:val="000000"/>
          <w:sz w:val="25"/>
          <w:szCs w:val="25"/>
        </w:rPr>
        <w:t>,</w:t>
      </w:r>
      <w:hyperlink r:id="rId109" w:anchor="R81" w:history="1">
        <w:r w:rsidRPr="00A0258B">
          <w:rPr>
            <w:rFonts w:ascii="Times New Roman" w:eastAsia="Times New Roman" w:hAnsi="Times New Roman" w:cs="Times New Roman"/>
            <w:color w:val="642A8F"/>
            <w:sz w:val="25"/>
            <w:szCs w:val="25"/>
            <w:u w:val="single"/>
          </w:rPr>
          <w:t>81</w:t>
        </w:r>
      </w:hyperlink>
      <w:r w:rsidRPr="00A0258B">
        <w:rPr>
          <w:rFonts w:ascii="Times New Roman" w:eastAsia="Times New Roman" w:hAnsi="Times New Roman" w:cs="Times New Roman"/>
          <w:color w:val="000000"/>
          <w:sz w:val="25"/>
          <w:szCs w:val="25"/>
        </w:rPr>
        <w:t>). The focal fatty marrow conversion from normal red hemopoietic bone marrow (</w:t>
      </w:r>
      <w:hyperlink r:id="rId110" w:anchor="R82" w:history="1">
        <w:r w:rsidRPr="00A0258B">
          <w:rPr>
            <w:rFonts w:ascii="Times New Roman" w:eastAsia="Times New Roman" w:hAnsi="Times New Roman" w:cs="Times New Roman"/>
            <w:color w:val="642A8F"/>
            <w:sz w:val="25"/>
            <w:szCs w:val="25"/>
            <w:u w:val="single"/>
          </w:rPr>
          <w:t>82</w:t>
        </w:r>
      </w:hyperlink>
      <w:r w:rsidRPr="00A0258B">
        <w:rPr>
          <w:rFonts w:ascii="Times New Roman" w:eastAsia="Times New Roman" w:hAnsi="Times New Roman" w:cs="Times New Roman"/>
          <w:color w:val="000000"/>
          <w:sz w:val="25"/>
          <w:szCs w:val="25"/>
        </w:rPr>
        <w:t>) might obstruct the nutrient transport from bone marrow to endplate. Moreover, the growth of fat cells and inflammatory edema in the rigid intraosseous compartment can increase pressure and compress vessels and further decrease blood flow (</w:t>
      </w:r>
      <w:hyperlink r:id="rId111" w:anchor="R83" w:history="1">
        <w:r w:rsidRPr="00A0258B">
          <w:rPr>
            <w:rFonts w:ascii="Times New Roman" w:eastAsia="Times New Roman" w:hAnsi="Times New Roman" w:cs="Times New Roman"/>
            <w:color w:val="642A8F"/>
            <w:sz w:val="25"/>
            <w:szCs w:val="25"/>
            <w:u w:val="single"/>
          </w:rPr>
          <w:t>83</w:t>
        </w:r>
      </w:hyperlink>
      <w:r w:rsidRPr="00A0258B">
        <w:rPr>
          <w:rFonts w:ascii="Times New Roman" w:eastAsia="Times New Roman" w:hAnsi="Times New Roman" w:cs="Times New Roman"/>
          <w:color w:val="000000"/>
          <w:sz w:val="25"/>
          <w:szCs w:val="25"/>
        </w:rPr>
        <w:t>,</w:t>
      </w:r>
      <w:hyperlink r:id="rId112" w:anchor="R84" w:history="1">
        <w:r w:rsidRPr="00A0258B">
          <w:rPr>
            <w:rFonts w:ascii="Times New Roman" w:eastAsia="Times New Roman" w:hAnsi="Times New Roman" w:cs="Times New Roman"/>
            <w:color w:val="642A8F"/>
            <w:sz w:val="25"/>
            <w:szCs w:val="25"/>
            <w:u w:val="single"/>
          </w:rPr>
          <w:t>84</w:t>
        </w:r>
      </w:hyperlink>
      <w:r w:rsidRPr="00A0258B">
        <w:rPr>
          <w:rFonts w:ascii="Times New Roman" w:eastAsia="Times New Roman" w:hAnsi="Times New Roman" w:cs="Times New Roman"/>
          <w:color w:val="000000"/>
          <w:sz w:val="25"/>
          <w:szCs w:val="25"/>
        </w:rPr>
        <w:t>). Therefore, we speculated that inhibition of inflammatory mediators and adipogenesis of vertebral bone marrow stromal cells (vBMSCs) may retard the progression of IVDD. Our study showed that fullerol suppressed ROS and inflammatory cytokine production under IL-1 β induction, inhibited the adipogenic differentiation of vBMSCs </w:t>
      </w:r>
      <w:r w:rsidRPr="00A0258B">
        <w:rPr>
          <w:rFonts w:ascii="Times New Roman" w:eastAsia="Times New Roman" w:hAnsi="Times New Roman" w:cs="Times New Roman"/>
          <w:i/>
          <w:iCs/>
          <w:color w:val="000000"/>
          <w:sz w:val="25"/>
          <w:szCs w:val="25"/>
        </w:rPr>
        <w:t xml:space="preserve">in </w:t>
      </w:r>
      <w:r w:rsidRPr="00A0258B">
        <w:rPr>
          <w:rFonts w:ascii="Times New Roman" w:eastAsia="Times New Roman" w:hAnsi="Times New Roman" w:cs="Times New Roman"/>
          <w:i/>
          <w:iCs/>
          <w:color w:val="000000"/>
          <w:sz w:val="25"/>
          <w:szCs w:val="25"/>
        </w:rPr>
        <w:lastRenderedPageBreak/>
        <w:t>vitro</w:t>
      </w:r>
      <w:r w:rsidRPr="00A0258B">
        <w:rPr>
          <w:rFonts w:ascii="Times New Roman" w:eastAsia="Times New Roman" w:hAnsi="Times New Roman" w:cs="Times New Roman"/>
          <w:color w:val="000000"/>
          <w:sz w:val="25"/>
          <w:szCs w:val="25"/>
        </w:rPr>
        <w:t> and, therefore, may prevent vertebral fatty marrow deposition and inflammatory responses during IVDD (</w:t>
      </w:r>
      <w:hyperlink r:id="rId113" w:anchor="R85" w:history="1">
        <w:r w:rsidRPr="00A0258B">
          <w:rPr>
            <w:rFonts w:ascii="Times New Roman" w:eastAsia="Times New Roman" w:hAnsi="Times New Roman" w:cs="Times New Roman"/>
            <w:color w:val="642A8F"/>
            <w:sz w:val="25"/>
            <w:szCs w:val="25"/>
            <w:u w:val="single"/>
          </w:rPr>
          <w:t>85</w:t>
        </w:r>
      </w:hyperlink>
      <w:r w:rsidRPr="00A0258B">
        <w:rPr>
          <w:rFonts w:ascii="Times New Roman" w:eastAsia="Times New Roman" w:hAnsi="Times New Roman" w:cs="Times New Roman"/>
          <w:color w:val="000000"/>
          <w:sz w:val="25"/>
          <w:szCs w:val="25"/>
        </w:rPr>
        <w:t>). Furthermore, it was reported that the intravenously injected water-soluble C</w:t>
      </w:r>
      <w:r w:rsidRPr="00A0258B">
        <w:rPr>
          <w:rFonts w:ascii="Times New Roman" w:eastAsia="Times New Roman" w:hAnsi="Times New Roman" w:cs="Times New Roman"/>
          <w:color w:val="000000"/>
          <w:sz w:val="21"/>
          <w:szCs w:val="21"/>
          <w:vertAlign w:val="subscript"/>
        </w:rPr>
        <w:t>60</w:t>
      </w:r>
      <w:r w:rsidRPr="00A0258B">
        <w:rPr>
          <w:rFonts w:ascii="Times New Roman" w:eastAsia="Times New Roman" w:hAnsi="Times New Roman" w:cs="Times New Roman"/>
          <w:color w:val="000000"/>
          <w:sz w:val="25"/>
          <w:szCs w:val="25"/>
        </w:rPr>
        <w:t> could penetrate the blood–brain barrier (</w:t>
      </w:r>
      <w:hyperlink r:id="rId114" w:anchor="R86" w:history="1">
        <w:r w:rsidRPr="00A0258B">
          <w:rPr>
            <w:rFonts w:ascii="Times New Roman" w:eastAsia="Times New Roman" w:hAnsi="Times New Roman" w:cs="Times New Roman"/>
            <w:color w:val="642A8F"/>
            <w:sz w:val="25"/>
            <w:szCs w:val="25"/>
            <w:u w:val="single"/>
          </w:rPr>
          <w:t>86</w:t>
        </w:r>
      </w:hyperlink>
      <w:r w:rsidRPr="00A0258B">
        <w:rPr>
          <w:rFonts w:ascii="Times New Roman" w:eastAsia="Times New Roman" w:hAnsi="Times New Roman" w:cs="Times New Roman"/>
          <w:color w:val="000000"/>
          <w:sz w:val="25"/>
          <w:szCs w:val="25"/>
        </w:rPr>
        <w:t>). We thus hypothesize that fullerol may also pass through the marrow contact channels across the vertebral endplate to reach disc tissue. If it is proved to be true, the local injection of fullerol into vertebral bodies can be beneficial to both prevent vertebral bone marrow inflammation and fatty degeneration as well as directly prevent disc tissue degeneration. The </w:t>
      </w:r>
      <w:r w:rsidRPr="00A0258B">
        <w:rPr>
          <w:rFonts w:ascii="Times New Roman" w:eastAsia="Times New Roman" w:hAnsi="Times New Roman" w:cs="Times New Roman"/>
          <w:i/>
          <w:iCs/>
          <w:color w:val="000000"/>
          <w:sz w:val="25"/>
          <w:szCs w:val="25"/>
        </w:rPr>
        <w:t>in vivo</w:t>
      </w:r>
      <w:r w:rsidRPr="00A0258B">
        <w:rPr>
          <w:rFonts w:ascii="Times New Roman" w:eastAsia="Times New Roman" w:hAnsi="Times New Roman" w:cs="Times New Roman"/>
          <w:color w:val="000000"/>
          <w:sz w:val="25"/>
          <w:szCs w:val="25"/>
        </w:rPr>
        <w:t> study is currently underway in our lab.</w:t>
      </w:r>
    </w:p>
    <w:p w:rsidR="00A0258B" w:rsidRPr="00A0258B" w:rsidRDefault="00A0258B" w:rsidP="00A0258B">
      <w:pPr>
        <w:shd w:val="clear" w:color="auto" w:fill="FFFFFF"/>
        <w:spacing w:before="308" w:after="154" w:line="300" w:lineRule="atLeast"/>
        <w:outlineLvl w:val="2"/>
        <w:rPr>
          <w:rFonts w:ascii="Arial" w:eastAsia="Times New Roman" w:hAnsi="Arial" w:cs="Arial"/>
          <w:color w:val="724128"/>
          <w:sz w:val="25"/>
          <w:szCs w:val="25"/>
        </w:rPr>
      </w:pPr>
      <w:r w:rsidRPr="00A0258B">
        <w:rPr>
          <w:rFonts w:ascii="Arial" w:eastAsia="Times New Roman" w:hAnsi="Arial" w:cs="Arial"/>
          <w:color w:val="724128"/>
          <w:sz w:val="25"/>
          <w:szCs w:val="25"/>
        </w:rPr>
        <w:t>C</w:t>
      </w:r>
      <w:r w:rsidRPr="00A0258B">
        <w:rPr>
          <w:rFonts w:ascii="Arial" w:eastAsia="Times New Roman" w:hAnsi="Arial" w:cs="Arial"/>
          <w:color w:val="724128"/>
          <w:sz w:val="21"/>
          <w:szCs w:val="21"/>
          <w:vertAlign w:val="subscript"/>
        </w:rPr>
        <w:t>60</w:t>
      </w:r>
      <w:r w:rsidRPr="00A0258B">
        <w:rPr>
          <w:rFonts w:ascii="Arial" w:eastAsia="Times New Roman" w:hAnsi="Arial" w:cs="Arial"/>
          <w:color w:val="724128"/>
          <w:sz w:val="25"/>
          <w:szCs w:val="25"/>
        </w:rPr>
        <w:t> and derivatives in radiculopathy treatment</w:t>
      </w:r>
    </w:p>
    <w:p w:rsidR="00A0258B" w:rsidRPr="00A0258B" w:rsidRDefault="00A0258B" w:rsidP="00A0258B">
      <w:pPr>
        <w:shd w:val="clear" w:color="auto" w:fill="FFFFFF"/>
        <w:spacing w:before="166" w:after="166"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IVDD can also cause spinal nerve root inflammation which is in association with back pain. The ingrowth of nociceptive neural fiber into deeper parts of the degenerative disc is considered as one of the most widely accepted pathomechanisms related to chronic discogenic pain (</w:t>
      </w:r>
      <w:hyperlink r:id="rId115" w:anchor="R87" w:history="1">
        <w:r w:rsidRPr="00A0258B">
          <w:rPr>
            <w:rFonts w:ascii="Times New Roman" w:eastAsia="Times New Roman" w:hAnsi="Times New Roman" w:cs="Times New Roman"/>
            <w:color w:val="642A8F"/>
            <w:sz w:val="25"/>
            <w:szCs w:val="25"/>
            <w:u w:val="single"/>
          </w:rPr>
          <w:t>87</w:t>
        </w:r>
      </w:hyperlink>
      <w:r w:rsidRPr="00A0258B">
        <w:rPr>
          <w:rFonts w:ascii="Times New Roman" w:eastAsia="Times New Roman" w:hAnsi="Times New Roman" w:cs="Times New Roman"/>
          <w:color w:val="000000"/>
          <w:sz w:val="25"/>
          <w:szCs w:val="25"/>
        </w:rPr>
        <w:t>). As the IVDD proceeds, disc inflammation may promote axonal growth of afferent fibers from the dorsal root ganglia (DRG) (</w:t>
      </w:r>
      <w:hyperlink r:id="rId116" w:anchor="R88" w:history="1">
        <w:r w:rsidRPr="00A0258B">
          <w:rPr>
            <w:rFonts w:ascii="Times New Roman" w:eastAsia="Times New Roman" w:hAnsi="Times New Roman" w:cs="Times New Roman"/>
            <w:color w:val="642A8F"/>
            <w:sz w:val="25"/>
            <w:szCs w:val="25"/>
            <w:u w:val="single"/>
          </w:rPr>
          <w:t>88</w:t>
        </w:r>
      </w:hyperlink>
      <w:r w:rsidRPr="00A0258B">
        <w:rPr>
          <w:rFonts w:ascii="Times New Roman" w:eastAsia="Times New Roman" w:hAnsi="Times New Roman" w:cs="Times New Roman"/>
          <w:color w:val="000000"/>
          <w:sz w:val="25"/>
          <w:szCs w:val="25"/>
        </w:rPr>
        <w:t>) to innervate the disc by secreting proinflammatory mediators. The pain signal could be triggered as the neurons of the DRG transmit the inflammatory signal through the spinal cord to the pain centers of the brain (</w:t>
      </w:r>
      <w:hyperlink r:id="rId117" w:anchor="R89" w:history="1">
        <w:r w:rsidRPr="00A0258B">
          <w:rPr>
            <w:rFonts w:ascii="Times New Roman" w:eastAsia="Times New Roman" w:hAnsi="Times New Roman" w:cs="Times New Roman"/>
            <w:color w:val="642A8F"/>
            <w:sz w:val="25"/>
            <w:szCs w:val="25"/>
            <w:u w:val="single"/>
          </w:rPr>
          <w:t>89</w:t>
        </w:r>
      </w:hyperlink>
      <w:r w:rsidRPr="00A0258B">
        <w:rPr>
          <w:rFonts w:ascii="Times New Roman" w:eastAsia="Times New Roman" w:hAnsi="Times New Roman" w:cs="Times New Roman"/>
          <w:color w:val="000000"/>
          <w:sz w:val="25"/>
          <w:szCs w:val="25"/>
        </w:rPr>
        <w:t>). Thus, relieving the inflammatory tension of the DRG would be of great significance to treat low back pain caused by IVDD. In our </w:t>
      </w:r>
      <w:r w:rsidRPr="00A0258B">
        <w:rPr>
          <w:rFonts w:ascii="Times New Roman" w:eastAsia="Times New Roman" w:hAnsi="Times New Roman" w:cs="Times New Roman"/>
          <w:i/>
          <w:iCs/>
          <w:color w:val="000000"/>
          <w:sz w:val="25"/>
          <w:szCs w:val="25"/>
        </w:rPr>
        <w:t>in vitro</w:t>
      </w:r>
      <w:r w:rsidRPr="00A0258B">
        <w:rPr>
          <w:rFonts w:ascii="Times New Roman" w:eastAsia="Times New Roman" w:hAnsi="Times New Roman" w:cs="Times New Roman"/>
          <w:color w:val="000000"/>
          <w:sz w:val="25"/>
          <w:szCs w:val="25"/>
        </w:rPr>
        <w:t> study, we revealed that fullerol treatment suppressed the inflammatory responses of DRG and neuronal apoptosis by decreasing the level of ROS and potentially enhancing anti-oxidative enzyme expression (</w:t>
      </w:r>
      <w:hyperlink r:id="rId118" w:anchor="R90" w:history="1">
        <w:r w:rsidRPr="00A0258B">
          <w:rPr>
            <w:rFonts w:ascii="Times New Roman" w:eastAsia="Times New Roman" w:hAnsi="Times New Roman" w:cs="Times New Roman"/>
            <w:color w:val="642A8F"/>
            <w:sz w:val="25"/>
            <w:szCs w:val="25"/>
            <w:u w:val="single"/>
          </w:rPr>
          <w:t>90</w:t>
        </w:r>
      </w:hyperlink>
      <w:r w:rsidRPr="00A0258B">
        <w:rPr>
          <w:rFonts w:ascii="Times New Roman" w:eastAsia="Times New Roman" w:hAnsi="Times New Roman" w:cs="Times New Roman"/>
          <w:color w:val="000000"/>
          <w:sz w:val="25"/>
          <w:szCs w:val="25"/>
        </w:rPr>
        <w:t>). Also, Huang et al. (</w:t>
      </w:r>
      <w:hyperlink r:id="rId119" w:anchor="R91" w:history="1">
        <w:r w:rsidRPr="00A0258B">
          <w:rPr>
            <w:rFonts w:ascii="Times New Roman" w:eastAsia="Times New Roman" w:hAnsi="Times New Roman" w:cs="Times New Roman"/>
            <w:color w:val="642A8F"/>
            <w:sz w:val="25"/>
            <w:szCs w:val="25"/>
            <w:u w:val="single"/>
          </w:rPr>
          <w:t>91</w:t>
        </w:r>
      </w:hyperlink>
      <w:r w:rsidRPr="00A0258B">
        <w:rPr>
          <w:rFonts w:ascii="Times New Roman" w:eastAsia="Times New Roman" w:hAnsi="Times New Roman" w:cs="Times New Roman"/>
          <w:color w:val="000000"/>
          <w:sz w:val="25"/>
          <w:szCs w:val="25"/>
        </w:rPr>
        <w:t>) prepared a new C</w:t>
      </w:r>
      <w:r w:rsidRPr="00A0258B">
        <w:rPr>
          <w:rFonts w:ascii="Times New Roman" w:eastAsia="Times New Roman" w:hAnsi="Times New Roman" w:cs="Times New Roman"/>
          <w:color w:val="000000"/>
          <w:sz w:val="21"/>
          <w:szCs w:val="21"/>
          <w:vertAlign w:val="subscript"/>
        </w:rPr>
        <w:t>60</w:t>
      </w:r>
      <w:r w:rsidRPr="00A0258B">
        <w:rPr>
          <w:rFonts w:ascii="Times New Roman" w:eastAsia="Times New Roman" w:hAnsi="Times New Roman" w:cs="Times New Roman"/>
          <w:color w:val="000000"/>
          <w:sz w:val="25"/>
          <w:szCs w:val="25"/>
        </w:rPr>
        <w:t> hybrid bearing thalidomide as a potential double-action anti-inflammatory agent, and found it was capable of simultaneous inhibition of LPS-induced NO and TNF-α production. Thus, the C</w:t>
      </w:r>
      <w:r w:rsidRPr="00A0258B">
        <w:rPr>
          <w:rFonts w:ascii="Times New Roman" w:eastAsia="Times New Roman" w:hAnsi="Times New Roman" w:cs="Times New Roman"/>
          <w:color w:val="000000"/>
          <w:sz w:val="21"/>
          <w:szCs w:val="21"/>
          <w:vertAlign w:val="subscript"/>
        </w:rPr>
        <w:t>60</w:t>
      </w:r>
      <w:r w:rsidRPr="00A0258B">
        <w:rPr>
          <w:rFonts w:ascii="Times New Roman" w:eastAsia="Times New Roman" w:hAnsi="Times New Roman" w:cs="Times New Roman"/>
          <w:color w:val="000000"/>
          <w:sz w:val="25"/>
          <w:szCs w:val="25"/>
        </w:rPr>
        <w:t> core coupled with functional groups shows novel features to prevent inflammation. Taken together, C</w:t>
      </w:r>
      <w:r w:rsidRPr="00A0258B">
        <w:rPr>
          <w:rFonts w:ascii="Times New Roman" w:eastAsia="Times New Roman" w:hAnsi="Times New Roman" w:cs="Times New Roman"/>
          <w:color w:val="000000"/>
          <w:sz w:val="21"/>
          <w:szCs w:val="21"/>
          <w:vertAlign w:val="subscript"/>
        </w:rPr>
        <w:t>60</w:t>
      </w:r>
      <w:r w:rsidRPr="00A0258B">
        <w:rPr>
          <w:rFonts w:ascii="Times New Roman" w:eastAsia="Times New Roman" w:hAnsi="Times New Roman" w:cs="Times New Roman"/>
          <w:color w:val="000000"/>
          <w:sz w:val="25"/>
          <w:szCs w:val="25"/>
        </w:rPr>
        <w:t> and derivatives have great potentials to serve as ROS scavenger and inflammation reliever for radiculopathy and low back pain treatment.</w:t>
      </w:r>
    </w:p>
    <w:p w:rsidR="00A0258B" w:rsidRPr="00A0258B" w:rsidRDefault="00A0258B" w:rsidP="00A0258B">
      <w:pPr>
        <w:shd w:val="clear" w:color="auto" w:fill="FFFFFF"/>
        <w:spacing w:before="166" w:after="166" w:line="240" w:lineRule="auto"/>
        <w:rPr>
          <w:rFonts w:ascii="Times New Roman" w:eastAsia="Times New Roman" w:hAnsi="Times New Roman" w:cs="Times New Roman"/>
          <w:color w:val="000000"/>
          <w:sz w:val="25"/>
          <w:szCs w:val="25"/>
        </w:rPr>
      </w:pPr>
      <w:hyperlink r:id="rId120" w:tgtFrame="figure" w:history="1">
        <w:r w:rsidRPr="00A0258B">
          <w:rPr>
            <w:rFonts w:ascii="Times New Roman" w:eastAsia="Times New Roman" w:hAnsi="Times New Roman" w:cs="Times New Roman"/>
            <w:color w:val="642A8F"/>
            <w:sz w:val="25"/>
            <w:szCs w:val="25"/>
            <w:u w:val="single"/>
          </w:rPr>
          <w:t>Figure 5</w:t>
        </w:r>
      </w:hyperlink>
      <w:r w:rsidRPr="00A0258B">
        <w:rPr>
          <w:rFonts w:ascii="Times New Roman" w:eastAsia="Times New Roman" w:hAnsi="Times New Roman" w:cs="Times New Roman"/>
          <w:color w:val="000000"/>
          <w:sz w:val="25"/>
          <w:szCs w:val="25"/>
        </w:rPr>
        <w:t> shows the general strategy to treat IVDD, vertebral bone marrow lesion and radiculopathy, with C</w:t>
      </w:r>
      <w:r w:rsidRPr="00A0258B">
        <w:rPr>
          <w:rFonts w:ascii="Times New Roman" w:eastAsia="Times New Roman" w:hAnsi="Times New Roman" w:cs="Times New Roman"/>
          <w:color w:val="000000"/>
          <w:sz w:val="21"/>
          <w:szCs w:val="21"/>
          <w:vertAlign w:val="subscript"/>
        </w:rPr>
        <w:t>60</w:t>
      </w:r>
      <w:r w:rsidRPr="00A0258B">
        <w:rPr>
          <w:rFonts w:ascii="Times New Roman" w:eastAsia="Times New Roman" w:hAnsi="Times New Roman" w:cs="Times New Roman"/>
          <w:color w:val="000000"/>
          <w:sz w:val="25"/>
          <w:szCs w:val="25"/>
        </w:rPr>
        <w:t> and derivatives, against low back pain.</w:t>
      </w:r>
    </w:p>
    <w:p w:rsidR="00A0258B" w:rsidRPr="00A0258B" w:rsidRDefault="00A0258B" w:rsidP="00A0258B">
      <w:pPr>
        <w:shd w:val="clear" w:color="auto" w:fill="FFFCF0"/>
        <w:spacing w:after="0" w:line="240" w:lineRule="auto"/>
        <w:rPr>
          <w:rFonts w:ascii="Times New Roman" w:eastAsia="Times New Roman" w:hAnsi="Times New Roman" w:cs="Times New Roman"/>
          <w:color w:val="642A8F"/>
          <w:sz w:val="24"/>
          <w:szCs w:val="24"/>
          <w:u w:val="single"/>
        </w:rPr>
      </w:pPr>
      <w:r w:rsidRPr="00A0258B">
        <w:rPr>
          <w:rFonts w:ascii="Times New Roman" w:eastAsia="Times New Roman" w:hAnsi="Times New Roman" w:cs="Times New Roman"/>
          <w:color w:val="000000"/>
          <w:sz w:val="25"/>
          <w:szCs w:val="25"/>
        </w:rPr>
        <w:fldChar w:fldCharType="begin"/>
      </w:r>
      <w:r w:rsidRPr="00A0258B">
        <w:rPr>
          <w:rFonts w:ascii="Times New Roman" w:eastAsia="Times New Roman" w:hAnsi="Times New Roman" w:cs="Times New Roman"/>
          <w:color w:val="000000"/>
          <w:sz w:val="25"/>
          <w:szCs w:val="25"/>
        </w:rPr>
        <w:instrText xml:space="preserve"> HYPERLINK "https://www.ncbi.nlm.nih.gov/pmc/articles/PMC4124742/figure/F5/" \t "figure" </w:instrText>
      </w:r>
      <w:r w:rsidRPr="00A0258B">
        <w:rPr>
          <w:rFonts w:ascii="Times New Roman" w:eastAsia="Times New Roman" w:hAnsi="Times New Roman" w:cs="Times New Roman"/>
          <w:color w:val="000000"/>
          <w:sz w:val="25"/>
          <w:szCs w:val="25"/>
        </w:rPr>
        <w:fldChar w:fldCharType="separate"/>
      </w:r>
    </w:p>
    <w:p w:rsidR="00A0258B" w:rsidRPr="00A0258B" w:rsidRDefault="00A0258B" w:rsidP="00A0258B">
      <w:pPr>
        <w:shd w:val="clear" w:color="auto" w:fill="FFFCF0"/>
        <w:spacing w:line="240" w:lineRule="auto"/>
        <w:jc w:val="center"/>
        <w:rPr>
          <w:rFonts w:ascii="Times New Roman" w:eastAsia="Times New Roman" w:hAnsi="Times New Roman" w:cs="Times New Roman"/>
          <w:sz w:val="24"/>
          <w:szCs w:val="24"/>
        </w:rPr>
      </w:pPr>
      <w:r w:rsidRPr="00A0258B">
        <w:rPr>
          <w:rFonts w:ascii="Times New Roman" w:eastAsia="Times New Roman" w:hAnsi="Times New Roman" w:cs="Times New Roman"/>
          <w:noProof/>
          <w:color w:val="642A8F"/>
          <w:sz w:val="25"/>
          <w:szCs w:val="25"/>
        </w:rPr>
        <w:lastRenderedPageBreak/>
        <w:drawing>
          <wp:inline distT="0" distB="0" distL="0" distR="0" wp14:anchorId="327D96B9" wp14:editId="293BE05B">
            <wp:extent cx="7620000" cy="5591175"/>
            <wp:effectExtent l="0" t="0" r="0" b="9525"/>
            <wp:docPr id="5" name="Picture 5" descr="An external file that holds a picture, illustration, etc.&#10;Object name is nihms608096f5.jpg">
              <a:hlinkClick xmlns:a="http://schemas.openxmlformats.org/drawingml/2006/main" r:id="rId120" tgtFrame="&quot;fig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 external file that holds a picture, illustration, etc.&#10;Object name is nihms608096f5.jpg">
                      <a:hlinkClick r:id="rId120" tgtFrame="&quot;figure&quot;"/>
                    </pic:cNvPr>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7620000" cy="5591175"/>
                    </a:xfrm>
                    <a:prstGeom prst="rect">
                      <a:avLst/>
                    </a:prstGeom>
                    <a:noFill/>
                    <a:ln>
                      <a:noFill/>
                    </a:ln>
                  </pic:spPr>
                </pic:pic>
              </a:graphicData>
            </a:graphic>
          </wp:inline>
        </w:drawing>
      </w:r>
    </w:p>
    <w:p w:rsidR="00A0258B" w:rsidRPr="00A0258B" w:rsidRDefault="00A0258B" w:rsidP="00A0258B">
      <w:pPr>
        <w:shd w:val="clear" w:color="auto" w:fill="FFFCF0"/>
        <w:spacing w:after="0"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fldChar w:fldCharType="end"/>
      </w:r>
    </w:p>
    <w:p w:rsidR="00A0258B" w:rsidRPr="00A0258B" w:rsidRDefault="00A0258B" w:rsidP="00A0258B">
      <w:pPr>
        <w:shd w:val="clear" w:color="auto" w:fill="FFFCF0"/>
        <w:spacing w:after="0" w:line="240" w:lineRule="auto"/>
        <w:textAlignment w:val="top"/>
        <w:rPr>
          <w:rFonts w:ascii="Times New Roman" w:eastAsia="Times New Roman" w:hAnsi="Times New Roman" w:cs="Times New Roman"/>
          <w:color w:val="666666"/>
          <w:sz w:val="23"/>
          <w:szCs w:val="23"/>
        </w:rPr>
      </w:pPr>
      <w:hyperlink r:id="rId122" w:tgtFrame="figure" w:history="1">
        <w:r w:rsidRPr="00A0258B">
          <w:rPr>
            <w:rFonts w:ascii="Times New Roman" w:eastAsia="Times New Roman" w:hAnsi="Times New Roman" w:cs="Times New Roman"/>
            <w:color w:val="642A8F"/>
            <w:sz w:val="23"/>
            <w:szCs w:val="23"/>
            <w:u w:val="single"/>
          </w:rPr>
          <w:t>Figure 5</w:t>
        </w:r>
      </w:hyperlink>
    </w:p>
    <w:p w:rsidR="00A0258B" w:rsidRPr="00A0258B" w:rsidRDefault="00A0258B" w:rsidP="00A0258B">
      <w:pPr>
        <w:shd w:val="clear" w:color="auto" w:fill="FFFCF0"/>
        <w:spacing w:before="166" w:line="240" w:lineRule="auto"/>
        <w:textAlignment w:val="top"/>
        <w:rPr>
          <w:rFonts w:ascii="Times New Roman" w:eastAsia="Times New Roman" w:hAnsi="Times New Roman" w:cs="Times New Roman"/>
          <w:color w:val="666666"/>
          <w:sz w:val="23"/>
          <w:szCs w:val="23"/>
        </w:rPr>
      </w:pPr>
      <w:r w:rsidRPr="00A0258B">
        <w:rPr>
          <w:rFonts w:ascii="Times New Roman" w:eastAsia="Times New Roman" w:hAnsi="Times New Roman" w:cs="Times New Roman"/>
          <w:color w:val="666666"/>
          <w:sz w:val="23"/>
          <w:szCs w:val="23"/>
        </w:rPr>
        <w:t>The general strategy to treat IVDD, vertebral bone marrow lesion and radiculopathy, with C</w:t>
      </w:r>
      <w:r w:rsidRPr="00A0258B">
        <w:rPr>
          <w:rFonts w:ascii="Times New Roman" w:eastAsia="Times New Roman" w:hAnsi="Times New Roman" w:cs="Times New Roman"/>
          <w:color w:val="666666"/>
          <w:sz w:val="20"/>
          <w:szCs w:val="20"/>
          <w:vertAlign w:val="subscript"/>
        </w:rPr>
        <w:t>60</w:t>
      </w:r>
      <w:r w:rsidRPr="00A0258B">
        <w:rPr>
          <w:rFonts w:ascii="Times New Roman" w:eastAsia="Times New Roman" w:hAnsi="Times New Roman" w:cs="Times New Roman"/>
          <w:color w:val="666666"/>
          <w:sz w:val="23"/>
          <w:szCs w:val="23"/>
        </w:rPr>
        <w:t> and derivatives, against low back pain. The “free radical sponge” C</w:t>
      </w:r>
      <w:r w:rsidRPr="00A0258B">
        <w:rPr>
          <w:rFonts w:ascii="Times New Roman" w:eastAsia="Times New Roman" w:hAnsi="Times New Roman" w:cs="Times New Roman"/>
          <w:color w:val="666666"/>
          <w:sz w:val="20"/>
          <w:szCs w:val="20"/>
          <w:vertAlign w:val="subscript"/>
        </w:rPr>
        <w:t>60</w:t>
      </w:r>
      <w:r w:rsidRPr="00A0258B">
        <w:rPr>
          <w:rFonts w:ascii="Times New Roman" w:eastAsia="Times New Roman" w:hAnsi="Times New Roman" w:cs="Times New Roman"/>
          <w:color w:val="666666"/>
          <w:sz w:val="23"/>
          <w:szCs w:val="23"/>
        </w:rPr>
        <w:t> and derivatives suppress disc tissue inflammation, promote disc tissue regeneration, prevent vertebral bone marrow edema and fatty degeneration and inhibit DRG inflammatory responses under high oxidative stress.</w:t>
      </w:r>
    </w:p>
    <w:p w:rsidR="00A0258B" w:rsidRPr="00A0258B" w:rsidRDefault="00A0258B" w:rsidP="00A0258B">
      <w:pPr>
        <w:shd w:val="clear" w:color="auto" w:fill="FFFFFF"/>
        <w:spacing w:before="166" w:after="166"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To summarize, C</w:t>
      </w:r>
      <w:r w:rsidRPr="00A0258B">
        <w:rPr>
          <w:rFonts w:ascii="Times New Roman" w:eastAsia="Times New Roman" w:hAnsi="Times New Roman" w:cs="Times New Roman"/>
          <w:color w:val="000000"/>
          <w:sz w:val="21"/>
          <w:szCs w:val="21"/>
          <w:vertAlign w:val="subscript"/>
        </w:rPr>
        <w:t>60</w:t>
      </w:r>
      <w:r w:rsidRPr="00A0258B">
        <w:rPr>
          <w:rFonts w:ascii="Times New Roman" w:eastAsia="Times New Roman" w:hAnsi="Times New Roman" w:cs="Times New Roman"/>
          <w:color w:val="000000"/>
          <w:sz w:val="25"/>
          <w:szCs w:val="25"/>
        </w:rPr>
        <w:t> and derivatives showed promising potentials for application in orthopaedic research (</w:t>
      </w:r>
      <w:hyperlink r:id="rId123" w:tgtFrame="table" w:history="1">
        <w:r w:rsidRPr="00A0258B">
          <w:rPr>
            <w:rFonts w:ascii="Times New Roman" w:eastAsia="Times New Roman" w:hAnsi="Times New Roman" w:cs="Times New Roman"/>
            <w:color w:val="642A8F"/>
            <w:sz w:val="25"/>
            <w:szCs w:val="25"/>
            <w:u w:val="single"/>
          </w:rPr>
          <w:t>Table 1</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CF0"/>
        <w:spacing w:after="154" w:line="300" w:lineRule="atLeast"/>
        <w:outlineLvl w:val="2"/>
        <w:rPr>
          <w:rFonts w:ascii="Arial" w:eastAsia="Times New Roman" w:hAnsi="Arial" w:cs="Arial"/>
          <w:color w:val="724128"/>
          <w:sz w:val="25"/>
          <w:szCs w:val="25"/>
        </w:rPr>
      </w:pPr>
      <w:r w:rsidRPr="00A0258B">
        <w:rPr>
          <w:rFonts w:ascii="Arial" w:eastAsia="Times New Roman" w:hAnsi="Arial" w:cs="Arial"/>
          <w:color w:val="724128"/>
          <w:sz w:val="25"/>
          <w:szCs w:val="25"/>
        </w:rPr>
        <w:t>Table 1</w:t>
      </w:r>
    </w:p>
    <w:p w:rsidR="00A0258B" w:rsidRPr="00A0258B" w:rsidRDefault="00A0258B" w:rsidP="00A0258B">
      <w:pPr>
        <w:shd w:val="clear" w:color="auto" w:fill="FFFCF0"/>
        <w:spacing w:before="166"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Applications of C</w:t>
      </w:r>
      <w:r w:rsidRPr="00A0258B">
        <w:rPr>
          <w:rFonts w:ascii="Times New Roman" w:eastAsia="Times New Roman" w:hAnsi="Times New Roman" w:cs="Times New Roman"/>
          <w:color w:val="000000"/>
          <w:sz w:val="21"/>
          <w:szCs w:val="21"/>
          <w:vertAlign w:val="subscript"/>
        </w:rPr>
        <w:t>60</w:t>
      </w:r>
      <w:r w:rsidRPr="00A0258B">
        <w:rPr>
          <w:rFonts w:ascii="Times New Roman" w:eastAsia="Times New Roman" w:hAnsi="Times New Roman" w:cs="Times New Roman"/>
          <w:color w:val="000000"/>
          <w:sz w:val="25"/>
          <w:szCs w:val="25"/>
        </w:rPr>
        <w:t> and derivatives in orthopaedic research.</w:t>
      </w:r>
    </w:p>
    <w:tbl>
      <w:tblPr>
        <w:tblW w:w="0" w:type="auto"/>
        <w:tblBorders>
          <w:top w:val="single" w:sz="6" w:space="0" w:color="000000"/>
          <w:bottom w:val="single" w:sz="6" w:space="0" w:color="000000"/>
        </w:tblBorders>
        <w:tblCellMar>
          <w:top w:w="15" w:type="dxa"/>
          <w:left w:w="15" w:type="dxa"/>
          <w:bottom w:w="15" w:type="dxa"/>
          <w:right w:w="15" w:type="dxa"/>
        </w:tblCellMar>
        <w:tblLook w:val="04A0" w:firstRow="1" w:lastRow="0" w:firstColumn="1" w:lastColumn="0" w:noHBand="0" w:noVBand="1"/>
      </w:tblPr>
      <w:tblGrid>
        <w:gridCol w:w="2106"/>
        <w:gridCol w:w="5902"/>
        <w:gridCol w:w="1352"/>
      </w:tblGrid>
      <w:tr w:rsidR="00A0258B" w:rsidRPr="00A0258B" w:rsidTr="00A0258B">
        <w:trPr>
          <w:tblHeader/>
        </w:trPr>
        <w:tc>
          <w:tcPr>
            <w:tcW w:w="0" w:type="auto"/>
            <w:tcBorders>
              <w:top w:val="nil"/>
              <w:left w:val="nil"/>
              <w:bottom w:val="nil"/>
              <w:right w:val="nil"/>
            </w:tcBorders>
            <w:tcMar>
              <w:top w:w="48" w:type="dxa"/>
              <w:left w:w="96" w:type="dxa"/>
              <w:bottom w:w="48" w:type="dxa"/>
              <w:right w:w="96" w:type="dxa"/>
            </w:tcMar>
            <w:vAlign w:val="bottom"/>
            <w:hideMark/>
          </w:tcPr>
          <w:p w:rsidR="00A0258B" w:rsidRPr="00A0258B" w:rsidRDefault="00A0258B" w:rsidP="00A0258B">
            <w:pPr>
              <w:spacing w:before="332" w:after="332" w:line="393" w:lineRule="atLeast"/>
              <w:rPr>
                <w:rFonts w:ascii="Times New Roman" w:eastAsia="Times New Roman" w:hAnsi="Times New Roman" w:cs="Times New Roman"/>
                <w:b/>
                <w:bCs/>
                <w:sz w:val="20"/>
                <w:szCs w:val="20"/>
              </w:rPr>
            </w:pPr>
            <w:r w:rsidRPr="00A0258B">
              <w:rPr>
                <w:rFonts w:ascii="Times New Roman" w:eastAsia="Times New Roman" w:hAnsi="Times New Roman" w:cs="Times New Roman"/>
                <w:b/>
                <w:bCs/>
                <w:sz w:val="20"/>
                <w:szCs w:val="20"/>
              </w:rPr>
              <w:lastRenderedPageBreak/>
              <w:t>Fullerene types</w:t>
            </w:r>
          </w:p>
        </w:tc>
        <w:tc>
          <w:tcPr>
            <w:tcW w:w="0" w:type="auto"/>
            <w:tcBorders>
              <w:top w:val="nil"/>
              <w:left w:val="nil"/>
              <w:bottom w:val="nil"/>
              <w:right w:val="nil"/>
            </w:tcBorders>
            <w:tcMar>
              <w:top w:w="48" w:type="dxa"/>
              <w:left w:w="96" w:type="dxa"/>
              <w:bottom w:w="48" w:type="dxa"/>
              <w:right w:w="96" w:type="dxa"/>
            </w:tcMar>
            <w:vAlign w:val="bottom"/>
            <w:hideMark/>
          </w:tcPr>
          <w:p w:rsidR="00A0258B" w:rsidRPr="00A0258B" w:rsidRDefault="00A0258B" w:rsidP="00A0258B">
            <w:pPr>
              <w:spacing w:before="332" w:after="332" w:line="393" w:lineRule="atLeast"/>
              <w:rPr>
                <w:rFonts w:ascii="Times New Roman" w:eastAsia="Times New Roman" w:hAnsi="Times New Roman" w:cs="Times New Roman"/>
                <w:b/>
                <w:bCs/>
                <w:sz w:val="20"/>
                <w:szCs w:val="20"/>
              </w:rPr>
            </w:pPr>
            <w:r w:rsidRPr="00A0258B">
              <w:rPr>
                <w:rFonts w:ascii="Times New Roman" w:eastAsia="Times New Roman" w:hAnsi="Times New Roman" w:cs="Times New Roman"/>
                <w:b/>
                <w:bCs/>
                <w:sz w:val="20"/>
                <w:szCs w:val="20"/>
              </w:rPr>
              <w:t>Biomedical actions</w:t>
            </w:r>
          </w:p>
        </w:tc>
        <w:tc>
          <w:tcPr>
            <w:tcW w:w="0" w:type="auto"/>
            <w:tcBorders>
              <w:top w:val="nil"/>
              <w:left w:val="nil"/>
              <w:bottom w:val="nil"/>
              <w:right w:val="nil"/>
            </w:tcBorders>
            <w:tcMar>
              <w:top w:w="48" w:type="dxa"/>
              <w:left w:w="96" w:type="dxa"/>
              <w:bottom w:w="48" w:type="dxa"/>
              <w:right w:w="96" w:type="dxa"/>
            </w:tcMar>
            <w:vAlign w:val="bottom"/>
            <w:hideMark/>
          </w:tcPr>
          <w:p w:rsidR="00A0258B" w:rsidRPr="00A0258B" w:rsidRDefault="00A0258B" w:rsidP="00A0258B">
            <w:pPr>
              <w:spacing w:before="332" w:after="332" w:line="393" w:lineRule="atLeast"/>
              <w:jc w:val="center"/>
              <w:rPr>
                <w:rFonts w:ascii="Times New Roman" w:eastAsia="Times New Roman" w:hAnsi="Times New Roman" w:cs="Times New Roman"/>
                <w:b/>
                <w:bCs/>
                <w:sz w:val="20"/>
                <w:szCs w:val="20"/>
              </w:rPr>
            </w:pPr>
            <w:r w:rsidRPr="00A0258B">
              <w:rPr>
                <w:rFonts w:ascii="Times New Roman" w:eastAsia="Times New Roman" w:hAnsi="Times New Roman" w:cs="Times New Roman"/>
                <w:b/>
                <w:bCs/>
                <w:sz w:val="20"/>
                <w:szCs w:val="20"/>
              </w:rPr>
              <w:t>References</w:t>
            </w:r>
          </w:p>
        </w:tc>
      </w:tr>
      <w:tr w:rsidR="00A0258B" w:rsidRPr="00A0258B" w:rsidTr="00A0258B">
        <w:tc>
          <w:tcPr>
            <w:tcW w:w="0" w:type="auto"/>
            <w:tcBorders>
              <w:top w:val="nil"/>
              <w:left w:val="nil"/>
              <w:bottom w:val="nil"/>
              <w:right w:val="nil"/>
            </w:tcBorders>
            <w:tcMar>
              <w:top w:w="48" w:type="dxa"/>
              <w:left w:w="96" w:type="dxa"/>
              <w:bottom w:w="48" w:type="dxa"/>
              <w:right w:w="96" w:type="dxa"/>
            </w:tcMar>
            <w:hideMark/>
          </w:tcPr>
          <w:p w:rsidR="00A0258B" w:rsidRPr="00A0258B" w:rsidRDefault="00A0258B" w:rsidP="00A0258B">
            <w:pPr>
              <w:spacing w:before="332" w:after="332" w:line="393" w:lineRule="atLeast"/>
              <w:rPr>
                <w:rFonts w:ascii="Times New Roman" w:eastAsia="Times New Roman" w:hAnsi="Times New Roman" w:cs="Times New Roman"/>
                <w:sz w:val="20"/>
                <w:szCs w:val="20"/>
              </w:rPr>
            </w:pPr>
            <w:r w:rsidRPr="00A0258B">
              <w:rPr>
                <w:rFonts w:ascii="Times New Roman" w:eastAsia="Times New Roman" w:hAnsi="Times New Roman" w:cs="Times New Roman"/>
                <w:sz w:val="20"/>
                <w:szCs w:val="20"/>
              </w:rPr>
              <w:t>C</w:t>
            </w:r>
            <w:r w:rsidRPr="00A0258B">
              <w:rPr>
                <w:rFonts w:ascii="Times New Roman" w:eastAsia="Times New Roman" w:hAnsi="Times New Roman" w:cs="Times New Roman"/>
                <w:sz w:val="20"/>
                <w:szCs w:val="20"/>
                <w:vertAlign w:val="subscript"/>
              </w:rPr>
              <w:t>60</w:t>
            </w:r>
          </w:p>
        </w:tc>
        <w:tc>
          <w:tcPr>
            <w:tcW w:w="0" w:type="auto"/>
            <w:tcBorders>
              <w:top w:val="nil"/>
              <w:left w:val="nil"/>
              <w:bottom w:val="nil"/>
              <w:right w:val="nil"/>
            </w:tcBorders>
            <w:tcMar>
              <w:top w:w="48" w:type="dxa"/>
              <w:left w:w="96" w:type="dxa"/>
              <w:bottom w:w="48" w:type="dxa"/>
              <w:right w:w="96" w:type="dxa"/>
            </w:tcMar>
            <w:hideMark/>
          </w:tcPr>
          <w:p w:rsidR="00A0258B" w:rsidRPr="00A0258B" w:rsidRDefault="00A0258B" w:rsidP="00A0258B">
            <w:pPr>
              <w:spacing w:before="332" w:after="332" w:line="393" w:lineRule="atLeast"/>
              <w:rPr>
                <w:rFonts w:ascii="Times New Roman" w:eastAsia="Times New Roman" w:hAnsi="Times New Roman" w:cs="Times New Roman"/>
                <w:sz w:val="20"/>
                <w:szCs w:val="20"/>
              </w:rPr>
            </w:pPr>
            <w:r w:rsidRPr="00A0258B">
              <w:rPr>
                <w:rFonts w:ascii="Times New Roman" w:eastAsia="Times New Roman" w:hAnsi="Times New Roman" w:cs="Times New Roman"/>
                <w:sz w:val="20"/>
                <w:szCs w:val="20"/>
              </w:rPr>
              <w:t>Chondrogenesis promotion via working as polyanionic substance or concentrating polyanionic substances; cartilage degeneration prevention via free radical scavenging potential and superlubricity property</w:t>
            </w:r>
          </w:p>
        </w:tc>
        <w:tc>
          <w:tcPr>
            <w:tcW w:w="0" w:type="auto"/>
            <w:tcBorders>
              <w:top w:val="nil"/>
              <w:left w:val="nil"/>
              <w:bottom w:val="nil"/>
              <w:right w:val="nil"/>
            </w:tcBorders>
            <w:tcMar>
              <w:top w:w="48" w:type="dxa"/>
              <w:left w:w="96" w:type="dxa"/>
              <w:bottom w:w="48" w:type="dxa"/>
              <w:right w:w="96" w:type="dxa"/>
            </w:tcMar>
            <w:hideMark/>
          </w:tcPr>
          <w:p w:rsidR="00A0258B" w:rsidRPr="00A0258B" w:rsidRDefault="00A0258B" w:rsidP="00A0258B">
            <w:pPr>
              <w:spacing w:before="332" w:after="332" w:line="393" w:lineRule="atLeast"/>
              <w:jc w:val="center"/>
              <w:rPr>
                <w:rFonts w:ascii="Times New Roman" w:eastAsia="Times New Roman" w:hAnsi="Times New Roman" w:cs="Times New Roman"/>
                <w:sz w:val="20"/>
                <w:szCs w:val="20"/>
              </w:rPr>
            </w:pPr>
            <w:r w:rsidRPr="00A0258B">
              <w:rPr>
                <w:rFonts w:ascii="Times New Roman" w:eastAsia="Times New Roman" w:hAnsi="Times New Roman" w:cs="Times New Roman"/>
                <w:sz w:val="20"/>
                <w:szCs w:val="20"/>
              </w:rPr>
              <w:t>(</w:t>
            </w:r>
            <w:hyperlink r:id="rId124" w:anchor="R12" w:history="1">
              <w:r w:rsidRPr="00A0258B">
                <w:rPr>
                  <w:rFonts w:ascii="Times New Roman" w:eastAsia="Times New Roman" w:hAnsi="Times New Roman" w:cs="Times New Roman"/>
                  <w:color w:val="642A8F"/>
                  <w:sz w:val="20"/>
                  <w:szCs w:val="20"/>
                  <w:u w:val="single"/>
                </w:rPr>
                <w:t>12</w:t>
              </w:r>
            </w:hyperlink>
            <w:r w:rsidRPr="00A0258B">
              <w:rPr>
                <w:rFonts w:ascii="Times New Roman" w:eastAsia="Times New Roman" w:hAnsi="Times New Roman" w:cs="Times New Roman"/>
                <w:sz w:val="20"/>
                <w:szCs w:val="20"/>
              </w:rPr>
              <w:t>,</w:t>
            </w:r>
            <w:hyperlink r:id="rId125" w:anchor="R57" w:history="1">
              <w:r w:rsidRPr="00A0258B">
                <w:rPr>
                  <w:rFonts w:ascii="Times New Roman" w:eastAsia="Times New Roman" w:hAnsi="Times New Roman" w:cs="Times New Roman"/>
                  <w:color w:val="642A8F"/>
                  <w:sz w:val="20"/>
                  <w:szCs w:val="20"/>
                  <w:u w:val="single"/>
                </w:rPr>
                <w:t>57</w:t>
              </w:r>
            </w:hyperlink>
            <w:r w:rsidRPr="00A0258B">
              <w:rPr>
                <w:rFonts w:ascii="Times New Roman" w:eastAsia="Times New Roman" w:hAnsi="Times New Roman" w:cs="Times New Roman"/>
                <w:sz w:val="20"/>
                <w:szCs w:val="20"/>
              </w:rPr>
              <w:t>)</w:t>
            </w:r>
          </w:p>
        </w:tc>
      </w:tr>
      <w:tr w:rsidR="00A0258B" w:rsidRPr="00A0258B" w:rsidTr="00A0258B">
        <w:tc>
          <w:tcPr>
            <w:tcW w:w="0" w:type="auto"/>
            <w:tcBorders>
              <w:top w:val="nil"/>
              <w:left w:val="nil"/>
              <w:bottom w:val="nil"/>
              <w:right w:val="nil"/>
            </w:tcBorders>
            <w:tcMar>
              <w:top w:w="48" w:type="dxa"/>
              <w:left w:w="96" w:type="dxa"/>
              <w:bottom w:w="48" w:type="dxa"/>
              <w:right w:w="96" w:type="dxa"/>
            </w:tcMar>
            <w:hideMark/>
          </w:tcPr>
          <w:p w:rsidR="00A0258B" w:rsidRPr="00A0258B" w:rsidRDefault="00A0258B" w:rsidP="00A0258B">
            <w:pPr>
              <w:spacing w:before="332" w:after="332" w:line="393" w:lineRule="atLeast"/>
              <w:rPr>
                <w:rFonts w:ascii="Times New Roman" w:eastAsia="Times New Roman" w:hAnsi="Times New Roman" w:cs="Times New Roman"/>
                <w:sz w:val="20"/>
                <w:szCs w:val="20"/>
              </w:rPr>
            </w:pPr>
            <w:r w:rsidRPr="00A0258B">
              <w:rPr>
                <w:rFonts w:ascii="Times New Roman" w:eastAsia="Times New Roman" w:hAnsi="Times New Roman" w:cs="Times New Roman"/>
                <w:sz w:val="20"/>
                <w:szCs w:val="20"/>
              </w:rPr>
              <w:t>Fullerol, C</w:t>
            </w:r>
            <w:r w:rsidRPr="00A0258B">
              <w:rPr>
                <w:rFonts w:ascii="Times New Roman" w:eastAsia="Times New Roman" w:hAnsi="Times New Roman" w:cs="Times New Roman"/>
                <w:sz w:val="20"/>
                <w:szCs w:val="20"/>
                <w:vertAlign w:val="subscript"/>
              </w:rPr>
              <w:t>60</w:t>
            </w:r>
            <w:r w:rsidRPr="00A0258B">
              <w:rPr>
                <w:rFonts w:ascii="Times New Roman" w:eastAsia="Times New Roman" w:hAnsi="Times New Roman" w:cs="Times New Roman"/>
                <w:sz w:val="20"/>
                <w:szCs w:val="20"/>
              </w:rPr>
              <w:t>, C</w:t>
            </w:r>
            <w:r w:rsidRPr="00A0258B">
              <w:rPr>
                <w:rFonts w:ascii="Times New Roman" w:eastAsia="Times New Roman" w:hAnsi="Times New Roman" w:cs="Times New Roman"/>
                <w:sz w:val="20"/>
                <w:szCs w:val="20"/>
                <w:vertAlign w:val="subscript"/>
              </w:rPr>
              <w:t>60</w:t>
            </w:r>
            <w:r w:rsidRPr="00A0258B">
              <w:rPr>
                <w:rFonts w:ascii="Times New Roman" w:eastAsia="Times New Roman" w:hAnsi="Times New Roman" w:cs="Times New Roman"/>
                <w:sz w:val="20"/>
                <w:szCs w:val="20"/>
              </w:rPr>
              <w:t>[C(PO</w:t>
            </w:r>
            <w:r w:rsidRPr="00A0258B">
              <w:rPr>
                <w:rFonts w:ascii="Times New Roman" w:eastAsia="Times New Roman" w:hAnsi="Times New Roman" w:cs="Times New Roman"/>
                <w:sz w:val="20"/>
                <w:szCs w:val="20"/>
                <w:vertAlign w:val="subscript"/>
              </w:rPr>
              <w:t>3</w:t>
            </w:r>
            <w:r w:rsidRPr="00A0258B">
              <w:rPr>
                <w:rFonts w:ascii="Times New Roman" w:eastAsia="Times New Roman" w:hAnsi="Times New Roman" w:cs="Times New Roman"/>
                <w:sz w:val="20"/>
                <w:szCs w:val="20"/>
              </w:rPr>
              <w:t>H</w:t>
            </w:r>
            <w:r w:rsidRPr="00A0258B">
              <w:rPr>
                <w:rFonts w:ascii="Times New Roman" w:eastAsia="Times New Roman" w:hAnsi="Times New Roman" w:cs="Times New Roman"/>
                <w:sz w:val="20"/>
                <w:szCs w:val="20"/>
                <w:vertAlign w:val="subscript"/>
              </w:rPr>
              <w:t>2</w:t>
            </w:r>
            <w:r w:rsidRPr="00A0258B">
              <w:rPr>
                <w:rFonts w:ascii="Times New Roman" w:eastAsia="Times New Roman" w:hAnsi="Times New Roman" w:cs="Times New Roman"/>
                <w:sz w:val="20"/>
                <w:szCs w:val="20"/>
              </w:rPr>
              <w:t>)</w:t>
            </w:r>
            <w:r w:rsidRPr="00A0258B">
              <w:rPr>
                <w:rFonts w:ascii="Times New Roman" w:eastAsia="Times New Roman" w:hAnsi="Times New Roman" w:cs="Times New Roman"/>
                <w:sz w:val="20"/>
                <w:szCs w:val="20"/>
                <w:vertAlign w:val="subscript"/>
              </w:rPr>
              <w:t>2</w:t>
            </w:r>
            <w:r w:rsidRPr="00A0258B">
              <w:rPr>
                <w:rFonts w:ascii="Times New Roman" w:eastAsia="Times New Roman" w:hAnsi="Times New Roman" w:cs="Times New Roman"/>
                <w:sz w:val="20"/>
                <w:szCs w:val="20"/>
              </w:rPr>
              <w:t>]</w:t>
            </w:r>
            <w:r w:rsidRPr="00A0258B">
              <w:rPr>
                <w:rFonts w:ascii="Times New Roman" w:eastAsia="Times New Roman" w:hAnsi="Times New Roman" w:cs="Times New Roman"/>
                <w:sz w:val="20"/>
                <w:szCs w:val="20"/>
                <w:vertAlign w:val="subscript"/>
              </w:rPr>
              <w:t>2</w:t>
            </w:r>
            <w:r w:rsidRPr="00A0258B">
              <w:rPr>
                <w:rFonts w:ascii="Times New Roman" w:eastAsia="Times New Roman" w:hAnsi="Times New Roman" w:cs="Times New Roman"/>
                <w:sz w:val="20"/>
                <w:szCs w:val="20"/>
              </w:rPr>
              <w:t>, C</w:t>
            </w:r>
            <w:r w:rsidRPr="00A0258B">
              <w:rPr>
                <w:rFonts w:ascii="Times New Roman" w:eastAsia="Times New Roman" w:hAnsi="Times New Roman" w:cs="Times New Roman"/>
                <w:sz w:val="20"/>
                <w:szCs w:val="20"/>
                <w:vertAlign w:val="subscript"/>
              </w:rPr>
              <w:t>60</w:t>
            </w:r>
            <w:r w:rsidRPr="00A0258B">
              <w:rPr>
                <w:rFonts w:ascii="Times New Roman" w:eastAsia="Times New Roman" w:hAnsi="Times New Roman" w:cs="Times New Roman"/>
                <w:sz w:val="20"/>
                <w:szCs w:val="20"/>
              </w:rPr>
              <w:t>(OH)</w:t>
            </w:r>
            <w:r w:rsidRPr="00A0258B">
              <w:rPr>
                <w:rFonts w:ascii="Times New Roman" w:eastAsia="Times New Roman" w:hAnsi="Times New Roman" w:cs="Times New Roman"/>
                <w:sz w:val="20"/>
                <w:szCs w:val="20"/>
                <w:vertAlign w:val="subscript"/>
              </w:rPr>
              <w:t>16</w:t>
            </w:r>
            <w:r w:rsidRPr="00A0258B">
              <w:rPr>
                <w:rFonts w:ascii="Times New Roman" w:eastAsia="Times New Roman" w:hAnsi="Times New Roman" w:cs="Times New Roman"/>
                <w:sz w:val="20"/>
                <w:szCs w:val="20"/>
              </w:rPr>
              <w:t>AMBP</w:t>
            </w:r>
          </w:p>
        </w:tc>
        <w:tc>
          <w:tcPr>
            <w:tcW w:w="0" w:type="auto"/>
            <w:tcBorders>
              <w:top w:val="nil"/>
              <w:left w:val="nil"/>
              <w:bottom w:val="nil"/>
              <w:right w:val="nil"/>
            </w:tcBorders>
            <w:tcMar>
              <w:top w:w="48" w:type="dxa"/>
              <w:left w:w="96" w:type="dxa"/>
              <w:bottom w:w="48" w:type="dxa"/>
              <w:right w:w="96" w:type="dxa"/>
            </w:tcMar>
            <w:hideMark/>
          </w:tcPr>
          <w:p w:rsidR="00A0258B" w:rsidRPr="00A0258B" w:rsidRDefault="00A0258B" w:rsidP="00A0258B">
            <w:pPr>
              <w:spacing w:before="332" w:after="332" w:line="393" w:lineRule="atLeast"/>
              <w:rPr>
                <w:rFonts w:ascii="Times New Roman" w:eastAsia="Times New Roman" w:hAnsi="Times New Roman" w:cs="Times New Roman"/>
                <w:sz w:val="20"/>
                <w:szCs w:val="20"/>
              </w:rPr>
            </w:pPr>
            <w:r w:rsidRPr="00A0258B">
              <w:rPr>
                <w:rFonts w:ascii="Times New Roman" w:eastAsia="Times New Roman" w:hAnsi="Times New Roman" w:cs="Times New Roman"/>
                <w:sz w:val="20"/>
                <w:szCs w:val="20"/>
              </w:rPr>
              <w:t>Bone destruction treatment via osteogenesis enhancing, osteoclastic suppression and inflammation inhibition, due to ROS scavenging potential, or osteoporosis prevention by conjugating the fullerene core with traditional bone promotion agents through targeting therapy strategy</w:t>
            </w:r>
          </w:p>
        </w:tc>
        <w:tc>
          <w:tcPr>
            <w:tcW w:w="0" w:type="auto"/>
            <w:tcBorders>
              <w:top w:val="nil"/>
              <w:left w:val="nil"/>
              <w:bottom w:val="nil"/>
              <w:right w:val="nil"/>
            </w:tcBorders>
            <w:tcMar>
              <w:top w:w="48" w:type="dxa"/>
              <w:left w:w="96" w:type="dxa"/>
              <w:bottom w:w="48" w:type="dxa"/>
              <w:right w:w="96" w:type="dxa"/>
            </w:tcMar>
            <w:hideMark/>
          </w:tcPr>
          <w:p w:rsidR="00A0258B" w:rsidRPr="00A0258B" w:rsidRDefault="00A0258B" w:rsidP="00A0258B">
            <w:pPr>
              <w:spacing w:before="332" w:after="332" w:line="393" w:lineRule="atLeast"/>
              <w:jc w:val="center"/>
              <w:rPr>
                <w:rFonts w:ascii="Times New Roman" w:eastAsia="Times New Roman" w:hAnsi="Times New Roman" w:cs="Times New Roman"/>
                <w:sz w:val="20"/>
                <w:szCs w:val="20"/>
              </w:rPr>
            </w:pPr>
            <w:r w:rsidRPr="00A0258B">
              <w:rPr>
                <w:rFonts w:ascii="Times New Roman" w:eastAsia="Times New Roman" w:hAnsi="Times New Roman" w:cs="Times New Roman"/>
                <w:sz w:val="20"/>
                <w:szCs w:val="20"/>
              </w:rPr>
              <w:t>(</w:t>
            </w:r>
            <w:hyperlink r:id="rId126" w:anchor="R13" w:history="1">
              <w:r w:rsidRPr="00A0258B">
                <w:rPr>
                  <w:rFonts w:ascii="Times New Roman" w:eastAsia="Times New Roman" w:hAnsi="Times New Roman" w:cs="Times New Roman"/>
                  <w:color w:val="642A8F"/>
                  <w:sz w:val="20"/>
                  <w:szCs w:val="20"/>
                  <w:u w:val="single"/>
                </w:rPr>
                <w:t>13</w:t>
              </w:r>
            </w:hyperlink>
            <w:r w:rsidRPr="00A0258B">
              <w:rPr>
                <w:rFonts w:ascii="Times New Roman" w:eastAsia="Times New Roman" w:hAnsi="Times New Roman" w:cs="Times New Roman"/>
                <w:sz w:val="20"/>
                <w:szCs w:val="20"/>
              </w:rPr>
              <w:t>,</w:t>
            </w:r>
            <w:hyperlink r:id="rId127" w:anchor="R67" w:history="1">
              <w:r w:rsidRPr="00A0258B">
                <w:rPr>
                  <w:rFonts w:ascii="Times New Roman" w:eastAsia="Times New Roman" w:hAnsi="Times New Roman" w:cs="Times New Roman"/>
                  <w:color w:val="642A8F"/>
                  <w:sz w:val="20"/>
                  <w:szCs w:val="20"/>
                  <w:u w:val="single"/>
                </w:rPr>
                <w:t>67</w:t>
              </w:r>
            </w:hyperlink>
            <w:r w:rsidRPr="00A0258B">
              <w:rPr>
                <w:rFonts w:ascii="Times New Roman" w:eastAsia="Times New Roman" w:hAnsi="Times New Roman" w:cs="Times New Roman"/>
                <w:sz w:val="20"/>
                <w:szCs w:val="20"/>
              </w:rPr>
              <w:t>,</w:t>
            </w:r>
            <w:hyperlink r:id="rId128" w:anchor="R69" w:history="1">
              <w:r w:rsidRPr="00A0258B">
                <w:rPr>
                  <w:rFonts w:ascii="Times New Roman" w:eastAsia="Times New Roman" w:hAnsi="Times New Roman" w:cs="Times New Roman"/>
                  <w:color w:val="642A8F"/>
                  <w:sz w:val="20"/>
                  <w:szCs w:val="20"/>
                  <w:u w:val="single"/>
                </w:rPr>
                <w:t>69</w:t>
              </w:r>
            </w:hyperlink>
            <w:r w:rsidRPr="00A0258B">
              <w:rPr>
                <w:rFonts w:ascii="Times New Roman" w:eastAsia="Times New Roman" w:hAnsi="Times New Roman" w:cs="Times New Roman"/>
                <w:sz w:val="20"/>
                <w:szCs w:val="20"/>
              </w:rPr>
              <w:t>–</w:t>
            </w:r>
            <w:hyperlink r:id="rId129" w:anchor="R70" w:history="1">
              <w:r w:rsidRPr="00A0258B">
                <w:rPr>
                  <w:rFonts w:ascii="Times New Roman" w:eastAsia="Times New Roman" w:hAnsi="Times New Roman" w:cs="Times New Roman"/>
                  <w:color w:val="642A8F"/>
                  <w:sz w:val="20"/>
                  <w:szCs w:val="20"/>
                  <w:u w:val="single"/>
                </w:rPr>
                <w:t>70</w:t>
              </w:r>
            </w:hyperlink>
            <w:r w:rsidRPr="00A0258B">
              <w:rPr>
                <w:rFonts w:ascii="Times New Roman" w:eastAsia="Times New Roman" w:hAnsi="Times New Roman" w:cs="Times New Roman"/>
                <w:sz w:val="20"/>
                <w:szCs w:val="20"/>
              </w:rPr>
              <w:t>)</w:t>
            </w:r>
          </w:p>
        </w:tc>
      </w:tr>
      <w:tr w:rsidR="00A0258B" w:rsidRPr="00A0258B" w:rsidTr="00A0258B">
        <w:tc>
          <w:tcPr>
            <w:tcW w:w="0" w:type="auto"/>
            <w:tcBorders>
              <w:top w:val="nil"/>
              <w:left w:val="nil"/>
              <w:bottom w:val="nil"/>
              <w:right w:val="nil"/>
            </w:tcBorders>
            <w:tcMar>
              <w:top w:w="48" w:type="dxa"/>
              <w:left w:w="96" w:type="dxa"/>
              <w:bottom w:w="48" w:type="dxa"/>
              <w:right w:w="96" w:type="dxa"/>
            </w:tcMar>
            <w:hideMark/>
          </w:tcPr>
          <w:p w:rsidR="00A0258B" w:rsidRPr="00A0258B" w:rsidRDefault="00A0258B" w:rsidP="00A0258B">
            <w:pPr>
              <w:spacing w:before="332" w:after="332" w:line="393" w:lineRule="atLeast"/>
              <w:rPr>
                <w:rFonts w:ascii="Times New Roman" w:eastAsia="Times New Roman" w:hAnsi="Times New Roman" w:cs="Times New Roman"/>
                <w:sz w:val="20"/>
                <w:szCs w:val="20"/>
              </w:rPr>
            </w:pPr>
            <w:r w:rsidRPr="00A0258B">
              <w:rPr>
                <w:rFonts w:ascii="Times New Roman" w:eastAsia="Times New Roman" w:hAnsi="Times New Roman" w:cs="Times New Roman"/>
                <w:sz w:val="20"/>
                <w:szCs w:val="20"/>
              </w:rPr>
              <w:t>Fullerol</w:t>
            </w:r>
          </w:p>
        </w:tc>
        <w:tc>
          <w:tcPr>
            <w:tcW w:w="0" w:type="auto"/>
            <w:tcBorders>
              <w:top w:val="nil"/>
              <w:left w:val="nil"/>
              <w:bottom w:val="nil"/>
              <w:right w:val="nil"/>
            </w:tcBorders>
            <w:tcMar>
              <w:top w:w="48" w:type="dxa"/>
              <w:left w:w="96" w:type="dxa"/>
              <w:bottom w:w="48" w:type="dxa"/>
              <w:right w:w="96" w:type="dxa"/>
            </w:tcMar>
            <w:hideMark/>
          </w:tcPr>
          <w:p w:rsidR="00A0258B" w:rsidRPr="00A0258B" w:rsidRDefault="00A0258B" w:rsidP="00A0258B">
            <w:pPr>
              <w:spacing w:before="332" w:after="332" w:line="393" w:lineRule="atLeast"/>
              <w:rPr>
                <w:rFonts w:ascii="Times New Roman" w:eastAsia="Times New Roman" w:hAnsi="Times New Roman" w:cs="Times New Roman"/>
                <w:sz w:val="20"/>
                <w:szCs w:val="20"/>
              </w:rPr>
            </w:pPr>
            <w:r w:rsidRPr="00A0258B">
              <w:rPr>
                <w:rFonts w:ascii="Times New Roman" w:eastAsia="Times New Roman" w:hAnsi="Times New Roman" w:cs="Times New Roman"/>
                <w:sz w:val="20"/>
                <w:szCs w:val="20"/>
              </w:rPr>
              <w:t>IVDD prevention via matrix degradation inhibition, water and proteoglycan content promotion, as well as ectopic bone formation prevention in disc tissue</w:t>
            </w:r>
          </w:p>
        </w:tc>
        <w:tc>
          <w:tcPr>
            <w:tcW w:w="0" w:type="auto"/>
            <w:tcBorders>
              <w:top w:val="nil"/>
              <w:left w:val="nil"/>
              <w:bottom w:val="nil"/>
              <w:right w:val="nil"/>
            </w:tcBorders>
            <w:tcMar>
              <w:top w:w="48" w:type="dxa"/>
              <w:left w:w="96" w:type="dxa"/>
              <w:bottom w:w="48" w:type="dxa"/>
              <w:right w:w="96" w:type="dxa"/>
            </w:tcMar>
            <w:hideMark/>
          </w:tcPr>
          <w:p w:rsidR="00A0258B" w:rsidRPr="00A0258B" w:rsidRDefault="00A0258B" w:rsidP="00A0258B">
            <w:pPr>
              <w:spacing w:before="332" w:after="332" w:line="393" w:lineRule="atLeast"/>
              <w:jc w:val="center"/>
              <w:rPr>
                <w:rFonts w:ascii="Times New Roman" w:eastAsia="Times New Roman" w:hAnsi="Times New Roman" w:cs="Times New Roman"/>
                <w:sz w:val="20"/>
                <w:szCs w:val="20"/>
              </w:rPr>
            </w:pPr>
            <w:r w:rsidRPr="00A0258B">
              <w:rPr>
                <w:rFonts w:ascii="Times New Roman" w:eastAsia="Times New Roman" w:hAnsi="Times New Roman" w:cs="Times New Roman"/>
                <w:sz w:val="20"/>
                <w:szCs w:val="20"/>
              </w:rPr>
              <w:t>Manuscript under review</w:t>
            </w:r>
          </w:p>
        </w:tc>
      </w:tr>
      <w:tr w:rsidR="00A0258B" w:rsidRPr="00A0258B" w:rsidTr="00A0258B">
        <w:tc>
          <w:tcPr>
            <w:tcW w:w="0" w:type="auto"/>
            <w:tcBorders>
              <w:top w:val="nil"/>
              <w:left w:val="nil"/>
              <w:bottom w:val="nil"/>
              <w:right w:val="nil"/>
            </w:tcBorders>
            <w:tcMar>
              <w:top w:w="48" w:type="dxa"/>
              <w:left w:w="96" w:type="dxa"/>
              <w:bottom w:w="48" w:type="dxa"/>
              <w:right w:w="96" w:type="dxa"/>
            </w:tcMar>
            <w:hideMark/>
          </w:tcPr>
          <w:p w:rsidR="00A0258B" w:rsidRPr="00A0258B" w:rsidRDefault="00A0258B" w:rsidP="00A0258B">
            <w:pPr>
              <w:spacing w:before="332" w:after="332" w:line="393" w:lineRule="atLeast"/>
              <w:rPr>
                <w:rFonts w:ascii="Times New Roman" w:eastAsia="Times New Roman" w:hAnsi="Times New Roman" w:cs="Times New Roman"/>
                <w:sz w:val="20"/>
                <w:szCs w:val="20"/>
              </w:rPr>
            </w:pPr>
            <w:r w:rsidRPr="00A0258B">
              <w:rPr>
                <w:rFonts w:ascii="Times New Roman" w:eastAsia="Times New Roman" w:hAnsi="Times New Roman" w:cs="Times New Roman"/>
                <w:sz w:val="20"/>
                <w:szCs w:val="20"/>
              </w:rPr>
              <w:t>Fullerol</w:t>
            </w:r>
          </w:p>
        </w:tc>
        <w:tc>
          <w:tcPr>
            <w:tcW w:w="0" w:type="auto"/>
            <w:tcBorders>
              <w:top w:val="nil"/>
              <w:left w:val="nil"/>
              <w:bottom w:val="nil"/>
              <w:right w:val="nil"/>
            </w:tcBorders>
            <w:tcMar>
              <w:top w:w="48" w:type="dxa"/>
              <w:left w:w="96" w:type="dxa"/>
              <w:bottom w:w="48" w:type="dxa"/>
              <w:right w:w="96" w:type="dxa"/>
            </w:tcMar>
            <w:hideMark/>
          </w:tcPr>
          <w:p w:rsidR="00A0258B" w:rsidRPr="00A0258B" w:rsidRDefault="00A0258B" w:rsidP="00A0258B">
            <w:pPr>
              <w:spacing w:before="332" w:after="332" w:line="393" w:lineRule="atLeast"/>
              <w:rPr>
                <w:rFonts w:ascii="Times New Roman" w:eastAsia="Times New Roman" w:hAnsi="Times New Roman" w:cs="Times New Roman"/>
                <w:sz w:val="20"/>
                <w:szCs w:val="20"/>
              </w:rPr>
            </w:pPr>
            <w:r w:rsidRPr="00A0258B">
              <w:rPr>
                <w:rFonts w:ascii="Times New Roman" w:eastAsia="Times New Roman" w:hAnsi="Times New Roman" w:cs="Times New Roman"/>
                <w:sz w:val="20"/>
                <w:szCs w:val="20"/>
              </w:rPr>
              <w:t>Vertebral bone marrow lesion treatment via ROS and inflammatory cytokine suppression, as well as adipogenesis prevention of vBMSCs</w:t>
            </w:r>
          </w:p>
        </w:tc>
        <w:tc>
          <w:tcPr>
            <w:tcW w:w="0" w:type="auto"/>
            <w:tcBorders>
              <w:top w:val="nil"/>
              <w:left w:val="nil"/>
              <w:bottom w:val="nil"/>
              <w:right w:val="nil"/>
            </w:tcBorders>
            <w:tcMar>
              <w:top w:w="48" w:type="dxa"/>
              <w:left w:w="96" w:type="dxa"/>
              <w:bottom w:w="48" w:type="dxa"/>
              <w:right w:w="96" w:type="dxa"/>
            </w:tcMar>
            <w:hideMark/>
          </w:tcPr>
          <w:p w:rsidR="00A0258B" w:rsidRPr="00A0258B" w:rsidRDefault="00A0258B" w:rsidP="00A0258B">
            <w:pPr>
              <w:spacing w:before="332" w:after="332" w:line="393" w:lineRule="atLeast"/>
              <w:jc w:val="center"/>
              <w:rPr>
                <w:rFonts w:ascii="Times New Roman" w:eastAsia="Times New Roman" w:hAnsi="Times New Roman" w:cs="Times New Roman"/>
                <w:sz w:val="20"/>
                <w:szCs w:val="20"/>
              </w:rPr>
            </w:pPr>
            <w:r w:rsidRPr="00A0258B">
              <w:rPr>
                <w:rFonts w:ascii="Times New Roman" w:eastAsia="Times New Roman" w:hAnsi="Times New Roman" w:cs="Times New Roman"/>
                <w:sz w:val="20"/>
                <w:szCs w:val="20"/>
              </w:rPr>
              <w:t>(</w:t>
            </w:r>
            <w:hyperlink r:id="rId130" w:anchor="R85" w:history="1">
              <w:r w:rsidRPr="00A0258B">
                <w:rPr>
                  <w:rFonts w:ascii="Times New Roman" w:eastAsia="Times New Roman" w:hAnsi="Times New Roman" w:cs="Times New Roman"/>
                  <w:color w:val="642A8F"/>
                  <w:sz w:val="20"/>
                  <w:szCs w:val="20"/>
                  <w:u w:val="single"/>
                </w:rPr>
                <w:t>85</w:t>
              </w:r>
            </w:hyperlink>
            <w:r w:rsidRPr="00A0258B">
              <w:rPr>
                <w:rFonts w:ascii="Times New Roman" w:eastAsia="Times New Roman" w:hAnsi="Times New Roman" w:cs="Times New Roman"/>
                <w:sz w:val="20"/>
                <w:szCs w:val="20"/>
              </w:rPr>
              <w:t>)</w:t>
            </w:r>
          </w:p>
        </w:tc>
      </w:tr>
      <w:tr w:rsidR="00A0258B" w:rsidRPr="00A0258B" w:rsidTr="00A0258B">
        <w:tc>
          <w:tcPr>
            <w:tcW w:w="0" w:type="auto"/>
            <w:tcBorders>
              <w:top w:val="nil"/>
              <w:left w:val="nil"/>
              <w:bottom w:val="nil"/>
              <w:right w:val="nil"/>
            </w:tcBorders>
            <w:tcMar>
              <w:top w:w="48" w:type="dxa"/>
              <w:left w:w="96" w:type="dxa"/>
              <w:bottom w:w="48" w:type="dxa"/>
              <w:right w:w="96" w:type="dxa"/>
            </w:tcMar>
            <w:hideMark/>
          </w:tcPr>
          <w:p w:rsidR="00A0258B" w:rsidRPr="00A0258B" w:rsidRDefault="00A0258B" w:rsidP="00A0258B">
            <w:pPr>
              <w:spacing w:before="332" w:after="332" w:line="393" w:lineRule="atLeast"/>
              <w:rPr>
                <w:rFonts w:ascii="Times New Roman" w:eastAsia="Times New Roman" w:hAnsi="Times New Roman" w:cs="Times New Roman"/>
                <w:sz w:val="20"/>
                <w:szCs w:val="20"/>
              </w:rPr>
            </w:pPr>
            <w:r w:rsidRPr="00A0258B">
              <w:rPr>
                <w:rFonts w:ascii="Times New Roman" w:eastAsia="Times New Roman" w:hAnsi="Times New Roman" w:cs="Times New Roman"/>
                <w:sz w:val="20"/>
                <w:szCs w:val="20"/>
              </w:rPr>
              <w:t>Fullerol</w:t>
            </w:r>
          </w:p>
        </w:tc>
        <w:tc>
          <w:tcPr>
            <w:tcW w:w="0" w:type="auto"/>
            <w:tcBorders>
              <w:top w:val="nil"/>
              <w:left w:val="nil"/>
              <w:bottom w:val="nil"/>
              <w:right w:val="nil"/>
            </w:tcBorders>
            <w:tcMar>
              <w:top w:w="48" w:type="dxa"/>
              <w:left w:w="96" w:type="dxa"/>
              <w:bottom w:w="48" w:type="dxa"/>
              <w:right w:w="96" w:type="dxa"/>
            </w:tcMar>
            <w:hideMark/>
          </w:tcPr>
          <w:p w:rsidR="00A0258B" w:rsidRPr="00A0258B" w:rsidRDefault="00A0258B" w:rsidP="00A0258B">
            <w:pPr>
              <w:spacing w:before="332" w:after="332" w:line="393" w:lineRule="atLeast"/>
              <w:rPr>
                <w:rFonts w:ascii="Times New Roman" w:eastAsia="Times New Roman" w:hAnsi="Times New Roman" w:cs="Times New Roman"/>
                <w:sz w:val="20"/>
                <w:szCs w:val="20"/>
              </w:rPr>
            </w:pPr>
            <w:r w:rsidRPr="00A0258B">
              <w:rPr>
                <w:rFonts w:ascii="Times New Roman" w:eastAsia="Times New Roman" w:hAnsi="Times New Roman" w:cs="Times New Roman"/>
                <w:sz w:val="20"/>
                <w:szCs w:val="20"/>
              </w:rPr>
              <w:t>Radiculopathy treatment via suppressing the inflammatory responses of DRG and neuronal apoptosis by decreasing the level of ROS and potentially enhancing anti-oxidative enzyme expression</w:t>
            </w:r>
          </w:p>
        </w:tc>
        <w:tc>
          <w:tcPr>
            <w:tcW w:w="0" w:type="auto"/>
            <w:tcBorders>
              <w:top w:val="nil"/>
              <w:left w:val="nil"/>
              <w:bottom w:val="nil"/>
              <w:right w:val="nil"/>
            </w:tcBorders>
            <w:tcMar>
              <w:top w:w="48" w:type="dxa"/>
              <w:left w:w="96" w:type="dxa"/>
              <w:bottom w:w="48" w:type="dxa"/>
              <w:right w:w="96" w:type="dxa"/>
            </w:tcMar>
            <w:hideMark/>
          </w:tcPr>
          <w:p w:rsidR="00A0258B" w:rsidRPr="00A0258B" w:rsidRDefault="00A0258B" w:rsidP="00A0258B">
            <w:pPr>
              <w:spacing w:before="332" w:after="332" w:line="393" w:lineRule="atLeast"/>
              <w:jc w:val="center"/>
              <w:rPr>
                <w:rFonts w:ascii="Times New Roman" w:eastAsia="Times New Roman" w:hAnsi="Times New Roman" w:cs="Times New Roman"/>
                <w:sz w:val="20"/>
                <w:szCs w:val="20"/>
              </w:rPr>
            </w:pPr>
            <w:r w:rsidRPr="00A0258B">
              <w:rPr>
                <w:rFonts w:ascii="Times New Roman" w:eastAsia="Times New Roman" w:hAnsi="Times New Roman" w:cs="Times New Roman"/>
                <w:sz w:val="20"/>
                <w:szCs w:val="20"/>
              </w:rPr>
              <w:t>(</w:t>
            </w:r>
            <w:hyperlink r:id="rId131" w:anchor="R90" w:history="1">
              <w:r w:rsidRPr="00A0258B">
                <w:rPr>
                  <w:rFonts w:ascii="Times New Roman" w:eastAsia="Times New Roman" w:hAnsi="Times New Roman" w:cs="Times New Roman"/>
                  <w:color w:val="642A8F"/>
                  <w:sz w:val="20"/>
                  <w:szCs w:val="20"/>
                  <w:u w:val="single"/>
                </w:rPr>
                <w:t>90</w:t>
              </w:r>
            </w:hyperlink>
            <w:r w:rsidRPr="00A0258B">
              <w:rPr>
                <w:rFonts w:ascii="Times New Roman" w:eastAsia="Times New Roman" w:hAnsi="Times New Roman" w:cs="Times New Roman"/>
                <w:sz w:val="20"/>
                <w:szCs w:val="20"/>
              </w:rPr>
              <w:t>)</w:t>
            </w:r>
          </w:p>
        </w:tc>
      </w:tr>
    </w:tbl>
    <w:p w:rsidR="00A0258B" w:rsidRPr="00A0258B" w:rsidRDefault="00A0258B" w:rsidP="00A0258B">
      <w:pPr>
        <w:shd w:val="clear" w:color="auto" w:fill="FFFFFF"/>
        <w:spacing w:after="0" w:line="240" w:lineRule="auto"/>
        <w:jc w:val="right"/>
        <w:rPr>
          <w:rFonts w:ascii="Arial" w:eastAsia="Times New Roman" w:hAnsi="Arial" w:cs="Arial"/>
          <w:color w:val="000000"/>
          <w:sz w:val="25"/>
          <w:szCs w:val="25"/>
        </w:rPr>
      </w:pPr>
      <w:hyperlink r:id="rId132" w:tooltip="Go to other sections in this page" w:history="1">
        <w:r w:rsidRPr="00A0258B">
          <w:rPr>
            <w:rFonts w:ascii="Arial" w:eastAsia="Times New Roman" w:hAnsi="Arial" w:cs="Arial"/>
            <w:color w:val="642A8F"/>
            <w:sz w:val="25"/>
            <w:szCs w:val="25"/>
            <w:u w:val="single"/>
          </w:rPr>
          <w:t>Go to:</w:t>
        </w:r>
      </w:hyperlink>
    </w:p>
    <w:p w:rsidR="00A0258B" w:rsidRPr="00A0258B" w:rsidRDefault="00A0258B" w:rsidP="00A0258B">
      <w:pPr>
        <w:shd w:val="clear" w:color="auto" w:fill="FFFFFF"/>
        <w:spacing w:after="0" w:line="240" w:lineRule="auto"/>
        <w:jc w:val="right"/>
        <w:rPr>
          <w:rFonts w:ascii="Arial" w:eastAsia="Times New Roman" w:hAnsi="Arial" w:cs="Arial"/>
          <w:color w:val="000000"/>
          <w:sz w:val="25"/>
          <w:szCs w:val="25"/>
        </w:rPr>
      </w:pPr>
      <w:hyperlink r:id="rId133" w:tooltip="Go to other sections in this page" w:history="1">
        <w:r w:rsidRPr="00A0258B">
          <w:rPr>
            <w:rFonts w:ascii="Arial" w:eastAsia="Times New Roman" w:hAnsi="Arial" w:cs="Arial"/>
            <w:color w:val="642A8F"/>
            <w:sz w:val="25"/>
            <w:szCs w:val="25"/>
            <w:u w:val="single"/>
          </w:rPr>
          <w:t>Go to:</w:t>
        </w:r>
      </w:hyperlink>
    </w:p>
    <w:p w:rsidR="00A0258B" w:rsidRPr="00A0258B" w:rsidRDefault="00A0258B" w:rsidP="00A0258B">
      <w:pPr>
        <w:pBdr>
          <w:bottom w:val="single" w:sz="6" w:space="0" w:color="97B0C8"/>
        </w:pBdr>
        <w:shd w:val="clear" w:color="auto" w:fill="FFFFFF"/>
        <w:spacing w:before="270" w:after="0" w:line="267" w:lineRule="atLeast"/>
        <w:outlineLvl w:val="1"/>
        <w:rPr>
          <w:rFonts w:ascii="Arial" w:eastAsia="Times New Roman" w:hAnsi="Arial" w:cs="Arial"/>
          <w:color w:val="985735"/>
          <w:sz w:val="28"/>
          <w:szCs w:val="28"/>
        </w:rPr>
      </w:pPr>
      <w:r w:rsidRPr="00A0258B">
        <w:rPr>
          <w:rFonts w:ascii="Arial" w:eastAsia="Times New Roman" w:hAnsi="Arial" w:cs="Arial"/>
          <w:color w:val="985735"/>
          <w:sz w:val="28"/>
          <w:szCs w:val="28"/>
        </w:rPr>
        <w:t>Toxicity of C</w:t>
      </w:r>
      <w:r w:rsidRPr="00A0258B">
        <w:rPr>
          <w:rFonts w:ascii="Arial" w:eastAsia="Times New Roman" w:hAnsi="Arial" w:cs="Arial"/>
          <w:color w:val="985735"/>
          <w:sz w:val="24"/>
          <w:szCs w:val="24"/>
          <w:vertAlign w:val="subscript"/>
        </w:rPr>
        <w:t>60</w:t>
      </w:r>
      <w:r w:rsidRPr="00A0258B">
        <w:rPr>
          <w:rFonts w:ascii="Arial" w:eastAsia="Times New Roman" w:hAnsi="Arial" w:cs="Arial"/>
          <w:color w:val="985735"/>
          <w:sz w:val="28"/>
          <w:szCs w:val="28"/>
        </w:rPr>
        <w:t> and derivatives</w:t>
      </w:r>
    </w:p>
    <w:p w:rsidR="00A0258B" w:rsidRPr="00A0258B" w:rsidRDefault="00A0258B" w:rsidP="00A0258B">
      <w:pPr>
        <w:shd w:val="clear" w:color="auto" w:fill="FFFFFF"/>
        <w:spacing w:before="166" w:after="166"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lastRenderedPageBreak/>
        <w:t>The toxicity assessment of C</w:t>
      </w:r>
      <w:r w:rsidRPr="00A0258B">
        <w:rPr>
          <w:rFonts w:ascii="Times New Roman" w:eastAsia="Times New Roman" w:hAnsi="Times New Roman" w:cs="Times New Roman"/>
          <w:color w:val="000000"/>
          <w:sz w:val="21"/>
          <w:szCs w:val="21"/>
          <w:vertAlign w:val="subscript"/>
        </w:rPr>
        <w:t>60</w:t>
      </w:r>
      <w:r w:rsidRPr="00A0258B">
        <w:rPr>
          <w:rFonts w:ascii="Times New Roman" w:eastAsia="Times New Roman" w:hAnsi="Times New Roman" w:cs="Times New Roman"/>
          <w:color w:val="000000"/>
          <w:sz w:val="25"/>
          <w:szCs w:val="25"/>
        </w:rPr>
        <w:t> and derivatives is an absolute and obvious prerequisite for their potential use in biomedicine, and a complete knowledge of the underlying mechanisms is necessary for designing an efficient therapeutic strategy for their alleviation. Although C</w:t>
      </w:r>
      <w:r w:rsidRPr="00A0258B">
        <w:rPr>
          <w:rFonts w:ascii="Times New Roman" w:eastAsia="Times New Roman" w:hAnsi="Times New Roman" w:cs="Times New Roman"/>
          <w:color w:val="000000"/>
          <w:sz w:val="21"/>
          <w:szCs w:val="21"/>
          <w:vertAlign w:val="subscript"/>
        </w:rPr>
        <w:t>60</w:t>
      </w:r>
      <w:r w:rsidRPr="00A0258B">
        <w:rPr>
          <w:rFonts w:ascii="Times New Roman" w:eastAsia="Times New Roman" w:hAnsi="Times New Roman" w:cs="Times New Roman"/>
          <w:color w:val="000000"/>
          <w:sz w:val="25"/>
          <w:szCs w:val="25"/>
        </w:rPr>
        <w:t> is a “free radical scavenger”, the delocalized </w:t>
      </w:r>
      <w:r w:rsidRPr="00A0258B">
        <w:rPr>
          <w:rFonts w:ascii="Times New Roman" w:eastAsia="Times New Roman" w:hAnsi="Times New Roman" w:cs="Times New Roman"/>
          <w:i/>
          <w:iCs/>
          <w:color w:val="000000"/>
          <w:sz w:val="25"/>
          <w:szCs w:val="25"/>
        </w:rPr>
        <w:t>π</w:t>
      </w:r>
      <w:r w:rsidRPr="00A0258B">
        <w:rPr>
          <w:rFonts w:ascii="Times New Roman" w:eastAsia="Times New Roman" w:hAnsi="Times New Roman" w:cs="Times New Roman"/>
          <w:color w:val="000000"/>
          <w:sz w:val="25"/>
          <w:szCs w:val="25"/>
        </w:rPr>
        <w:t> double bonds of the fullerene cage can absorb energy from light to efficiently produce an excited triplet state and, through energy and electron transfer to molecular oxygen, produce both singlet molecular oxygen and superoxide which may injure cells (</w:t>
      </w:r>
      <w:hyperlink r:id="rId134" w:anchor="R92" w:history="1">
        <w:r w:rsidRPr="00A0258B">
          <w:rPr>
            <w:rFonts w:ascii="Times New Roman" w:eastAsia="Times New Roman" w:hAnsi="Times New Roman" w:cs="Times New Roman"/>
            <w:color w:val="642A8F"/>
            <w:sz w:val="25"/>
            <w:szCs w:val="25"/>
            <w:u w:val="single"/>
          </w:rPr>
          <w:t>92</w:t>
        </w:r>
      </w:hyperlink>
      <w:r w:rsidRPr="00A0258B">
        <w:rPr>
          <w:rFonts w:ascii="Times New Roman" w:eastAsia="Times New Roman" w:hAnsi="Times New Roman" w:cs="Times New Roman"/>
          <w:color w:val="000000"/>
          <w:sz w:val="25"/>
          <w:szCs w:val="25"/>
        </w:rPr>
        <w:t>). The balance between ROS scavenging and generation mediates its cytoprotection or photo-cytotoxicity on cells. Also, C</w:t>
      </w:r>
      <w:r w:rsidRPr="00A0258B">
        <w:rPr>
          <w:rFonts w:ascii="Times New Roman" w:eastAsia="Times New Roman" w:hAnsi="Times New Roman" w:cs="Times New Roman"/>
          <w:color w:val="000000"/>
          <w:sz w:val="21"/>
          <w:szCs w:val="21"/>
          <w:vertAlign w:val="subscript"/>
        </w:rPr>
        <w:t>60</w:t>
      </w:r>
      <w:r w:rsidRPr="00A0258B">
        <w:rPr>
          <w:rFonts w:ascii="Times New Roman" w:eastAsia="Times New Roman" w:hAnsi="Times New Roman" w:cs="Times New Roman"/>
          <w:color w:val="000000"/>
          <w:sz w:val="25"/>
          <w:szCs w:val="25"/>
        </w:rPr>
        <w:t> may cause damage to the plasma and nuclear membranes as well as cellular organelles due to the potentials to form aqueous aggregates of C</w:t>
      </w:r>
      <w:r w:rsidRPr="00A0258B">
        <w:rPr>
          <w:rFonts w:ascii="Times New Roman" w:eastAsia="Times New Roman" w:hAnsi="Times New Roman" w:cs="Times New Roman"/>
          <w:color w:val="000000"/>
          <w:sz w:val="21"/>
          <w:szCs w:val="21"/>
          <w:vertAlign w:val="subscript"/>
        </w:rPr>
        <w:t>60</w:t>
      </w:r>
      <w:r w:rsidRPr="00A0258B">
        <w:rPr>
          <w:rFonts w:ascii="Times New Roman" w:eastAsia="Times New Roman" w:hAnsi="Times New Roman" w:cs="Times New Roman"/>
          <w:color w:val="000000"/>
          <w:sz w:val="25"/>
          <w:szCs w:val="25"/>
        </w:rPr>
        <w:t> nanoparticles (nC</w:t>
      </w:r>
      <w:r w:rsidRPr="00A0258B">
        <w:rPr>
          <w:rFonts w:ascii="Times New Roman" w:eastAsia="Times New Roman" w:hAnsi="Times New Roman" w:cs="Times New Roman"/>
          <w:color w:val="000000"/>
          <w:sz w:val="21"/>
          <w:szCs w:val="21"/>
          <w:vertAlign w:val="subscript"/>
        </w:rPr>
        <w:t>60</w:t>
      </w:r>
      <w:r w:rsidRPr="00A0258B">
        <w:rPr>
          <w:rFonts w:ascii="Times New Roman" w:eastAsia="Times New Roman" w:hAnsi="Times New Roman" w:cs="Times New Roman"/>
          <w:color w:val="000000"/>
          <w:sz w:val="25"/>
          <w:szCs w:val="25"/>
        </w:rPr>
        <w:t>). Furthermore, the preparation methods for aqueous C</w:t>
      </w:r>
      <w:r w:rsidRPr="00A0258B">
        <w:rPr>
          <w:rFonts w:ascii="Times New Roman" w:eastAsia="Times New Roman" w:hAnsi="Times New Roman" w:cs="Times New Roman"/>
          <w:color w:val="000000"/>
          <w:sz w:val="21"/>
          <w:szCs w:val="21"/>
          <w:vertAlign w:val="subscript"/>
        </w:rPr>
        <w:t>60</w:t>
      </w:r>
      <w:r w:rsidRPr="00A0258B">
        <w:rPr>
          <w:rFonts w:ascii="Times New Roman" w:eastAsia="Times New Roman" w:hAnsi="Times New Roman" w:cs="Times New Roman"/>
          <w:color w:val="000000"/>
          <w:sz w:val="25"/>
          <w:szCs w:val="25"/>
        </w:rPr>
        <w:t> may also affect its cytotoxicity caused by solvent residues (</w:t>
      </w:r>
      <w:hyperlink r:id="rId135" w:anchor="R93" w:history="1">
        <w:r w:rsidRPr="00A0258B">
          <w:rPr>
            <w:rFonts w:ascii="Times New Roman" w:eastAsia="Times New Roman" w:hAnsi="Times New Roman" w:cs="Times New Roman"/>
            <w:color w:val="642A8F"/>
            <w:sz w:val="25"/>
            <w:szCs w:val="25"/>
            <w:u w:val="single"/>
          </w:rPr>
          <w:t>93</w:t>
        </w:r>
      </w:hyperlink>
      <w:r w:rsidRPr="00A0258B">
        <w:rPr>
          <w:rFonts w:ascii="Times New Roman" w:eastAsia="Times New Roman" w:hAnsi="Times New Roman" w:cs="Times New Roman"/>
          <w:color w:val="000000"/>
          <w:sz w:val="25"/>
          <w:szCs w:val="25"/>
        </w:rPr>
        <w:t>). For example, ROS have been detected in aqueous nC</w:t>
      </w:r>
      <w:r w:rsidRPr="00A0258B">
        <w:rPr>
          <w:rFonts w:ascii="Times New Roman" w:eastAsia="Times New Roman" w:hAnsi="Times New Roman" w:cs="Times New Roman"/>
          <w:color w:val="000000"/>
          <w:sz w:val="21"/>
          <w:szCs w:val="21"/>
          <w:vertAlign w:val="subscript"/>
        </w:rPr>
        <w:t>60(solvent/tetrahydrofuran (THF))</w:t>
      </w:r>
      <w:r w:rsidRPr="00A0258B">
        <w:rPr>
          <w:rFonts w:ascii="Times New Roman" w:eastAsia="Times New Roman" w:hAnsi="Times New Roman" w:cs="Times New Roman"/>
          <w:color w:val="000000"/>
          <w:sz w:val="25"/>
          <w:szCs w:val="25"/>
        </w:rPr>
        <w:t> preparations (</w:t>
      </w:r>
      <w:hyperlink r:id="rId136" w:anchor="R94" w:history="1">
        <w:r w:rsidRPr="00A0258B">
          <w:rPr>
            <w:rFonts w:ascii="Times New Roman" w:eastAsia="Times New Roman" w:hAnsi="Times New Roman" w:cs="Times New Roman"/>
            <w:color w:val="642A8F"/>
            <w:sz w:val="25"/>
            <w:szCs w:val="25"/>
            <w:u w:val="single"/>
          </w:rPr>
          <w:t>94</w:t>
        </w:r>
      </w:hyperlink>
      <w:r w:rsidRPr="00A0258B">
        <w:rPr>
          <w:rFonts w:ascii="Times New Roman" w:eastAsia="Times New Roman" w:hAnsi="Times New Roman" w:cs="Times New Roman"/>
          <w:color w:val="000000"/>
          <w:sz w:val="25"/>
          <w:szCs w:val="25"/>
        </w:rPr>
        <w:t>,</w:t>
      </w:r>
      <w:hyperlink r:id="rId137" w:anchor="R95" w:history="1">
        <w:r w:rsidRPr="00A0258B">
          <w:rPr>
            <w:rFonts w:ascii="Times New Roman" w:eastAsia="Times New Roman" w:hAnsi="Times New Roman" w:cs="Times New Roman"/>
            <w:color w:val="642A8F"/>
            <w:sz w:val="25"/>
            <w:szCs w:val="25"/>
            <w:u w:val="single"/>
          </w:rPr>
          <w:t>95</w:t>
        </w:r>
      </w:hyperlink>
      <w:r w:rsidRPr="00A0258B">
        <w:rPr>
          <w:rFonts w:ascii="Times New Roman" w:eastAsia="Times New Roman" w:hAnsi="Times New Roman" w:cs="Times New Roman"/>
          <w:color w:val="000000"/>
          <w:sz w:val="25"/>
          <w:szCs w:val="25"/>
        </w:rPr>
        <w:t>), and Zhang et al. (</w:t>
      </w:r>
      <w:hyperlink r:id="rId138" w:anchor="R96" w:history="1">
        <w:r w:rsidRPr="00A0258B">
          <w:rPr>
            <w:rFonts w:ascii="Times New Roman" w:eastAsia="Times New Roman" w:hAnsi="Times New Roman" w:cs="Times New Roman"/>
            <w:color w:val="642A8F"/>
            <w:sz w:val="25"/>
            <w:szCs w:val="25"/>
            <w:u w:val="single"/>
          </w:rPr>
          <w:t>96</w:t>
        </w:r>
      </w:hyperlink>
      <w:r w:rsidRPr="00A0258B">
        <w:rPr>
          <w:rFonts w:ascii="Times New Roman" w:eastAsia="Times New Roman" w:hAnsi="Times New Roman" w:cs="Times New Roman"/>
          <w:color w:val="000000"/>
          <w:sz w:val="25"/>
          <w:szCs w:val="25"/>
        </w:rPr>
        <w:t>) demonstrated that nC</w:t>
      </w:r>
      <w:r w:rsidRPr="00A0258B">
        <w:rPr>
          <w:rFonts w:ascii="Times New Roman" w:eastAsia="Times New Roman" w:hAnsi="Times New Roman" w:cs="Times New Roman"/>
          <w:color w:val="000000"/>
          <w:sz w:val="21"/>
          <w:szCs w:val="21"/>
          <w:vertAlign w:val="subscript"/>
        </w:rPr>
        <w:t>60(solvent/THF)</w:t>
      </w:r>
      <w:r w:rsidRPr="00A0258B">
        <w:rPr>
          <w:rFonts w:ascii="Times New Roman" w:eastAsia="Times New Roman" w:hAnsi="Times New Roman" w:cs="Times New Roman"/>
          <w:color w:val="000000"/>
          <w:sz w:val="25"/>
          <w:szCs w:val="25"/>
        </w:rPr>
        <w:t> preparations contained oxidizing agents (THF degradation products) that explained ROS activity. Moreover, the introduced functional groups into the C</w:t>
      </w:r>
      <w:r w:rsidRPr="00A0258B">
        <w:rPr>
          <w:rFonts w:ascii="Times New Roman" w:eastAsia="Times New Roman" w:hAnsi="Times New Roman" w:cs="Times New Roman"/>
          <w:color w:val="000000"/>
          <w:sz w:val="21"/>
          <w:szCs w:val="21"/>
          <w:vertAlign w:val="subscript"/>
        </w:rPr>
        <w:t>60</w:t>
      </w:r>
      <w:r w:rsidRPr="00A0258B">
        <w:rPr>
          <w:rFonts w:ascii="Times New Roman" w:eastAsia="Times New Roman" w:hAnsi="Times New Roman" w:cs="Times New Roman"/>
          <w:color w:val="000000"/>
          <w:sz w:val="25"/>
          <w:szCs w:val="25"/>
        </w:rPr>
        <w:t> molecule may also yield cytotoxicity.</w:t>
      </w:r>
    </w:p>
    <w:p w:rsidR="00A0258B" w:rsidRPr="00A0258B" w:rsidRDefault="00A0258B" w:rsidP="00A0258B">
      <w:pPr>
        <w:shd w:val="clear" w:color="auto" w:fill="FFFFFF"/>
        <w:spacing w:before="166" w:after="166"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As has been reported, with 48 h exposure to C</w:t>
      </w:r>
      <w:r w:rsidRPr="00A0258B">
        <w:rPr>
          <w:rFonts w:ascii="Times New Roman" w:eastAsia="Times New Roman" w:hAnsi="Times New Roman" w:cs="Times New Roman"/>
          <w:color w:val="000000"/>
          <w:sz w:val="21"/>
          <w:szCs w:val="21"/>
          <w:vertAlign w:val="subscript"/>
        </w:rPr>
        <w:t>60</w:t>
      </w:r>
      <w:r w:rsidRPr="00A0258B">
        <w:rPr>
          <w:rFonts w:ascii="Times New Roman" w:eastAsia="Times New Roman" w:hAnsi="Times New Roman" w:cs="Times New Roman"/>
          <w:color w:val="000000"/>
          <w:sz w:val="25"/>
          <w:szCs w:val="25"/>
        </w:rPr>
        <w:t>, the LC</w:t>
      </w:r>
      <w:r w:rsidRPr="00A0258B">
        <w:rPr>
          <w:rFonts w:ascii="Times New Roman" w:eastAsia="Times New Roman" w:hAnsi="Times New Roman" w:cs="Times New Roman"/>
          <w:color w:val="000000"/>
          <w:sz w:val="21"/>
          <w:szCs w:val="21"/>
          <w:vertAlign w:val="subscript"/>
        </w:rPr>
        <w:t>50</w:t>
      </w:r>
      <w:r w:rsidRPr="00A0258B">
        <w:rPr>
          <w:rFonts w:ascii="Times New Roman" w:eastAsia="Times New Roman" w:hAnsi="Times New Roman" w:cs="Times New Roman"/>
          <w:color w:val="000000"/>
          <w:sz w:val="25"/>
          <w:szCs w:val="25"/>
        </w:rPr>
        <w:t> for human dermal fibroblasts is 20 μg/L (</w:t>
      </w:r>
      <w:hyperlink r:id="rId139" w:anchor="R97" w:history="1">
        <w:r w:rsidRPr="00A0258B">
          <w:rPr>
            <w:rFonts w:ascii="Times New Roman" w:eastAsia="Times New Roman" w:hAnsi="Times New Roman" w:cs="Times New Roman"/>
            <w:color w:val="642A8F"/>
            <w:sz w:val="25"/>
            <w:szCs w:val="25"/>
            <w:u w:val="single"/>
          </w:rPr>
          <w:t>97</w:t>
        </w:r>
      </w:hyperlink>
      <w:r w:rsidRPr="00A0258B">
        <w:rPr>
          <w:rFonts w:ascii="Times New Roman" w:eastAsia="Times New Roman" w:hAnsi="Times New Roman" w:cs="Times New Roman"/>
          <w:color w:val="000000"/>
          <w:sz w:val="25"/>
          <w:szCs w:val="25"/>
        </w:rPr>
        <w:t>), while it drops down to 2 μg/L for neuronal human astrocytes (</w:t>
      </w:r>
      <w:hyperlink r:id="rId140" w:anchor="R95" w:history="1">
        <w:r w:rsidRPr="00A0258B">
          <w:rPr>
            <w:rFonts w:ascii="Times New Roman" w:eastAsia="Times New Roman" w:hAnsi="Times New Roman" w:cs="Times New Roman"/>
            <w:color w:val="642A8F"/>
            <w:sz w:val="25"/>
            <w:szCs w:val="25"/>
            <w:u w:val="single"/>
          </w:rPr>
          <w:t>95</w:t>
        </w:r>
      </w:hyperlink>
      <w:r w:rsidRPr="00A0258B">
        <w:rPr>
          <w:rFonts w:ascii="Times New Roman" w:eastAsia="Times New Roman" w:hAnsi="Times New Roman" w:cs="Times New Roman"/>
          <w:color w:val="000000"/>
          <w:sz w:val="25"/>
          <w:szCs w:val="25"/>
        </w:rPr>
        <w:t>). It was documented that a maximal dose (100 μg/ml, about 88.7 μM) of fullerol-induced cytotoxic injury on human endothelial cells (</w:t>
      </w:r>
      <w:hyperlink r:id="rId141" w:anchor="R98" w:history="1">
        <w:r w:rsidRPr="00A0258B">
          <w:rPr>
            <w:rFonts w:ascii="Times New Roman" w:eastAsia="Times New Roman" w:hAnsi="Times New Roman" w:cs="Times New Roman"/>
            <w:color w:val="642A8F"/>
            <w:sz w:val="25"/>
            <w:szCs w:val="25"/>
            <w:u w:val="single"/>
          </w:rPr>
          <w:t>98</w:t>
        </w:r>
      </w:hyperlink>
      <w:r w:rsidRPr="00A0258B">
        <w:rPr>
          <w:rFonts w:ascii="Times New Roman" w:eastAsia="Times New Roman" w:hAnsi="Times New Roman" w:cs="Times New Roman"/>
          <w:color w:val="000000"/>
          <w:sz w:val="25"/>
          <w:szCs w:val="25"/>
        </w:rPr>
        <w:t>) and was cytotoxic to human lens epithelial cells at concentrations higher than 20 μM (</w:t>
      </w:r>
      <w:hyperlink r:id="rId142" w:anchor="R92" w:history="1">
        <w:r w:rsidRPr="00A0258B">
          <w:rPr>
            <w:rFonts w:ascii="Times New Roman" w:eastAsia="Times New Roman" w:hAnsi="Times New Roman" w:cs="Times New Roman"/>
            <w:color w:val="642A8F"/>
            <w:sz w:val="25"/>
            <w:szCs w:val="25"/>
            <w:u w:val="single"/>
          </w:rPr>
          <w:t>92</w:t>
        </w:r>
      </w:hyperlink>
      <w:r w:rsidRPr="00A0258B">
        <w:rPr>
          <w:rFonts w:ascii="Times New Roman" w:eastAsia="Times New Roman" w:hAnsi="Times New Roman" w:cs="Times New Roman"/>
          <w:color w:val="000000"/>
          <w:sz w:val="25"/>
          <w:szCs w:val="25"/>
        </w:rPr>
        <w:t>). While Sayes et al. (</w:t>
      </w:r>
      <w:hyperlink r:id="rId143" w:anchor="R97" w:history="1">
        <w:r w:rsidRPr="00A0258B">
          <w:rPr>
            <w:rFonts w:ascii="Times New Roman" w:eastAsia="Times New Roman" w:hAnsi="Times New Roman" w:cs="Times New Roman"/>
            <w:color w:val="642A8F"/>
            <w:sz w:val="25"/>
            <w:szCs w:val="25"/>
            <w:u w:val="single"/>
          </w:rPr>
          <w:t>97</w:t>
        </w:r>
      </w:hyperlink>
      <w:r w:rsidRPr="00A0258B">
        <w:rPr>
          <w:rFonts w:ascii="Times New Roman" w:eastAsia="Times New Roman" w:hAnsi="Times New Roman" w:cs="Times New Roman"/>
          <w:color w:val="000000"/>
          <w:sz w:val="25"/>
          <w:szCs w:val="25"/>
        </w:rPr>
        <w:t>) explored the differential cytotoxicity of water-soluble fullerenes and reported that C</w:t>
      </w:r>
      <w:r w:rsidRPr="00A0258B">
        <w:rPr>
          <w:rFonts w:ascii="Times New Roman" w:eastAsia="Times New Roman" w:hAnsi="Times New Roman" w:cs="Times New Roman"/>
          <w:color w:val="000000"/>
          <w:sz w:val="21"/>
          <w:szCs w:val="21"/>
          <w:vertAlign w:val="subscript"/>
        </w:rPr>
        <w:t>60</w:t>
      </w:r>
      <w:r w:rsidRPr="00A0258B">
        <w:rPr>
          <w:rFonts w:ascii="Times New Roman" w:eastAsia="Times New Roman" w:hAnsi="Times New Roman" w:cs="Times New Roman"/>
          <w:color w:val="000000"/>
          <w:sz w:val="25"/>
          <w:szCs w:val="25"/>
        </w:rPr>
        <w:t>(OH)</w:t>
      </w:r>
      <w:r w:rsidRPr="00A0258B">
        <w:rPr>
          <w:rFonts w:ascii="Times New Roman" w:eastAsia="Times New Roman" w:hAnsi="Times New Roman" w:cs="Times New Roman"/>
          <w:color w:val="000000"/>
          <w:sz w:val="21"/>
          <w:szCs w:val="21"/>
          <w:vertAlign w:val="subscript"/>
        </w:rPr>
        <w:t>24</w:t>
      </w:r>
      <w:r w:rsidRPr="00A0258B">
        <w:rPr>
          <w:rFonts w:ascii="Times New Roman" w:eastAsia="Times New Roman" w:hAnsi="Times New Roman" w:cs="Times New Roman"/>
          <w:color w:val="000000"/>
          <w:sz w:val="25"/>
          <w:szCs w:val="25"/>
        </w:rPr>
        <w:t> with inhibitory property for aggregation significantly enhanced its biocompatibility toward both human dermal fibroblasts and liver carcinoma cells compared with C</w:t>
      </w:r>
      <w:r w:rsidRPr="00A0258B">
        <w:rPr>
          <w:rFonts w:ascii="Times New Roman" w:eastAsia="Times New Roman" w:hAnsi="Times New Roman" w:cs="Times New Roman"/>
          <w:color w:val="000000"/>
          <w:sz w:val="21"/>
          <w:szCs w:val="21"/>
          <w:vertAlign w:val="subscript"/>
        </w:rPr>
        <w:t>60</w:t>
      </w:r>
      <w:r w:rsidRPr="00A0258B">
        <w:rPr>
          <w:rFonts w:ascii="Times New Roman" w:eastAsia="Times New Roman" w:hAnsi="Times New Roman" w:cs="Times New Roman"/>
          <w:color w:val="000000"/>
          <w:sz w:val="25"/>
          <w:szCs w:val="25"/>
        </w:rPr>
        <w:t>. In our group, we performed both lactate dehydrogenase and WST-1 assays to appraise fullerol’s cytotoxicity on mouse vBMSCs and human NP cells. The results from the study indicated that 1 μM fullerol had little cytotoxicity for up to 7 days of </w:t>
      </w:r>
      <w:r w:rsidRPr="00A0258B">
        <w:rPr>
          <w:rFonts w:ascii="Times New Roman" w:eastAsia="Times New Roman" w:hAnsi="Times New Roman" w:cs="Times New Roman"/>
          <w:i/>
          <w:iCs/>
          <w:color w:val="000000"/>
          <w:sz w:val="25"/>
          <w:szCs w:val="25"/>
        </w:rPr>
        <w:t>in vitro</w:t>
      </w:r>
      <w:r w:rsidRPr="00A0258B">
        <w:rPr>
          <w:rFonts w:ascii="Times New Roman" w:eastAsia="Times New Roman" w:hAnsi="Times New Roman" w:cs="Times New Roman"/>
          <w:color w:val="000000"/>
          <w:sz w:val="25"/>
          <w:szCs w:val="25"/>
        </w:rPr>
        <w:t> culture, while 10 μM fullerol demonstrated statistically significant cytotoxicity. It shows that the toxicity of C</w:t>
      </w:r>
      <w:r w:rsidRPr="00A0258B">
        <w:rPr>
          <w:rFonts w:ascii="Times New Roman" w:eastAsia="Times New Roman" w:hAnsi="Times New Roman" w:cs="Times New Roman"/>
          <w:color w:val="000000"/>
          <w:sz w:val="21"/>
          <w:szCs w:val="21"/>
          <w:vertAlign w:val="subscript"/>
        </w:rPr>
        <w:t>60</w:t>
      </w:r>
      <w:r w:rsidRPr="00A0258B">
        <w:rPr>
          <w:rFonts w:ascii="Times New Roman" w:eastAsia="Times New Roman" w:hAnsi="Times New Roman" w:cs="Times New Roman"/>
          <w:color w:val="000000"/>
          <w:sz w:val="25"/>
          <w:szCs w:val="25"/>
        </w:rPr>
        <w:t> and derivatives depends on the targeted cell and tissue types as well as the administered compound doses.</w:t>
      </w:r>
    </w:p>
    <w:p w:rsidR="00A0258B" w:rsidRPr="00A0258B" w:rsidRDefault="00A0258B" w:rsidP="00A0258B">
      <w:pPr>
        <w:shd w:val="clear" w:color="auto" w:fill="FFFFFF"/>
        <w:spacing w:before="166" w:after="166"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Since C</w:t>
      </w:r>
      <w:r w:rsidRPr="00A0258B">
        <w:rPr>
          <w:rFonts w:ascii="Times New Roman" w:eastAsia="Times New Roman" w:hAnsi="Times New Roman" w:cs="Times New Roman"/>
          <w:color w:val="000000"/>
          <w:sz w:val="21"/>
          <w:szCs w:val="21"/>
          <w:vertAlign w:val="subscript"/>
        </w:rPr>
        <w:t>60</w:t>
      </w:r>
      <w:r w:rsidRPr="00A0258B">
        <w:rPr>
          <w:rFonts w:ascii="Times New Roman" w:eastAsia="Times New Roman" w:hAnsi="Times New Roman" w:cs="Times New Roman"/>
          <w:color w:val="000000"/>
          <w:sz w:val="25"/>
          <w:szCs w:val="25"/>
        </w:rPr>
        <w:t> derivatives have been reported to be widely distributed in all tissues (</w:t>
      </w:r>
      <w:hyperlink r:id="rId144" w:anchor="R56" w:history="1">
        <w:r w:rsidRPr="00A0258B">
          <w:rPr>
            <w:rFonts w:ascii="Times New Roman" w:eastAsia="Times New Roman" w:hAnsi="Times New Roman" w:cs="Times New Roman"/>
            <w:color w:val="642A8F"/>
            <w:sz w:val="25"/>
            <w:szCs w:val="25"/>
            <w:u w:val="single"/>
          </w:rPr>
          <w:t>56</w:t>
        </w:r>
      </w:hyperlink>
      <w:r w:rsidRPr="00A0258B">
        <w:rPr>
          <w:rFonts w:ascii="Times New Roman" w:eastAsia="Times New Roman" w:hAnsi="Times New Roman" w:cs="Times New Roman"/>
          <w:color w:val="000000"/>
          <w:sz w:val="25"/>
          <w:szCs w:val="25"/>
        </w:rPr>
        <w:t>), the toxicokinetics of these compounds after </w:t>
      </w:r>
      <w:r w:rsidRPr="00A0258B">
        <w:rPr>
          <w:rFonts w:ascii="Times New Roman" w:eastAsia="Times New Roman" w:hAnsi="Times New Roman" w:cs="Times New Roman"/>
          <w:i/>
          <w:iCs/>
          <w:color w:val="000000"/>
          <w:sz w:val="25"/>
          <w:szCs w:val="25"/>
        </w:rPr>
        <w:t>in vivo</w:t>
      </w:r>
      <w:r w:rsidRPr="00A0258B">
        <w:rPr>
          <w:rFonts w:ascii="Times New Roman" w:eastAsia="Times New Roman" w:hAnsi="Times New Roman" w:cs="Times New Roman"/>
          <w:color w:val="000000"/>
          <w:sz w:val="25"/>
          <w:szCs w:val="25"/>
        </w:rPr>
        <w:t> administration deserve critical attention. It has been pointed out C</w:t>
      </w:r>
      <w:r w:rsidRPr="00A0258B">
        <w:rPr>
          <w:rFonts w:ascii="Times New Roman" w:eastAsia="Times New Roman" w:hAnsi="Times New Roman" w:cs="Times New Roman"/>
          <w:color w:val="000000"/>
          <w:sz w:val="21"/>
          <w:szCs w:val="21"/>
          <w:vertAlign w:val="subscript"/>
        </w:rPr>
        <w:t>60</w:t>
      </w:r>
      <w:r w:rsidRPr="00A0258B">
        <w:rPr>
          <w:rFonts w:ascii="Times New Roman" w:eastAsia="Times New Roman" w:hAnsi="Times New Roman" w:cs="Times New Roman"/>
          <w:color w:val="000000"/>
          <w:sz w:val="25"/>
          <w:szCs w:val="25"/>
        </w:rPr>
        <w:t> and derivatives have long biological half-life within the exposed animals (</w:t>
      </w:r>
      <w:hyperlink r:id="rId145" w:anchor="R5" w:history="1">
        <w:r w:rsidRPr="00A0258B">
          <w:rPr>
            <w:rFonts w:ascii="Times New Roman" w:eastAsia="Times New Roman" w:hAnsi="Times New Roman" w:cs="Times New Roman"/>
            <w:color w:val="642A8F"/>
            <w:sz w:val="25"/>
            <w:szCs w:val="25"/>
            <w:u w:val="single"/>
          </w:rPr>
          <w:t>5</w:t>
        </w:r>
      </w:hyperlink>
      <w:r w:rsidRPr="00A0258B">
        <w:rPr>
          <w:rFonts w:ascii="Times New Roman" w:eastAsia="Times New Roman" w:hAnsi="Times New Roman" w:cs="Times New Roman"/>
          <w:color w:val="000000"/>
          <w:sz w:val="25"/>
          <w:szCs w:val="25"/>
        </w:rPr>
        <w:t>). The relatively long biological half-life raises concern about bioaccumulation and long-term effects. Mori et al. (</w:t>
      </w:r>
      <w:hyperlink r:id="rId146" w:anchor="R99" w:history="1">
        <w:r w:rsidRPr="00A0258B">
          <w:rPr>
            <w:rFonts w:ascii="Times New Roman" w:eastAsia="Times New Roman" w:hAnsi="Times New Roman" w:cs="Times New Roman"/>
            <w:color w:val="642A8F"/>
            <w:sz w:val="25"/>
            <w:szCs w:val="25"/>
            <w:u w:val="single"/>
          </w:rPr>
          <w:t>99</w:t>
        </w:r>
      </w:hyperlink>
      <w:r w:rsidRPr="00A0258B">
        <w:rPr>
          <w:rFonts w:ascii="Times New Roman" w:eastAsia="Times New Roman" w:hAnsi="Times New Roman" w:cs="Times New Roman"/>
          <w:color w:val="000000"/>
          <w:sz w:val="25"/>
          <w:szCs w:val="25"/>
        </w:rPr>
        <w:t>) revealed that orally administered C</w:t>
      </w:r>
      <w:r w:rsidRPr="00A0258B">
        <w:rPr>
          <w:rFonts w:ascii="Times New Roman" w:eastAsia="Times New Roman" w:hAnsi="Times New Roman" w:cs="Times New Roman"/>
          <w:color w:val="000000"/>
          <w:sz w:val="21"/>
          <w:szCs w:val="21"/>
          <w:vertAlign w:val="subscript"/>
        </w:rPr>
        <w:t>60</w:t>
      </w:r>
      <w:r w:rsidRPr="00A0258B">
        <w:rPr>
          <w:rFonts w:ascii="Times New Roman" w:eastAsia="Times New Roman" w:hAnsi="Times New Roman" w:cs="Times New Roman"/>
          <w:color w:val="000000"/>
          <w:sz w:val="25"/>
          <w:szCs w:val="25"/>
        </w:rPr>
        <w:t> and C</w:t>
      </w:r>
      <w:r w:rsidRPr="00A0258B">
        <w:rPr>
          <w:rFonts w:ascii="Times New Roman" w:eastAsia="Times New Roman" w:hAnsi="Times New Roman" w:cs="Times New Roman"/>
          <w:color w:val="000000"/>
          <w:sz w:val="21"/>
          <w:szCs w:val="21"/>
          <w:vertAlign w:val="subscript"/>
        </w:rPr>
        <w:t>70</w:t>
      </w:r>
      <w:r w:rsidRPr="00A0258B">
        <w:rPr>
          <w:rFonts w:ascii="Times New Roman" w:eastAsia="Times New Roman" w:hAnsi="Times New Roman" w:cs="Times New Roman"/>
          <w:color w:val="000000"/>
          <w:sz w:val="25"/>
          <w:szCs w:val="25"/>
        </w:rPr>
        <w:t> at a dose level of 2000 mg/kg did not cause toxicity to rats within 15-day observation. Genotoxicity was not found either. In experiments studying subchronic exposure to C</w:t>
      </w:r>
      <w:r w:rsidRPr="00A0258B">
        <w:rPr>
          <w:rFonts w:ascii="Times New Roman" w:eastAsia="Times New Roman" w:hAnsi="Times New Roman" w:cs="Times New Roman"/>
          <w:color w:val="000000"/>
          <w:sz w:val="21"/>
          <w:szCs w:val="21"/>
          <w:vertAlign w:val="subscript"/>
        </w:rPr>
        <w:t>60</w:t>
      </w:r>
      <w:r w:rsidRPr="00A0258B">
        <w:rPr>
          <w:rFonts w:ascii="Times New Roman" w:eastAsia="Times New Roman" w:hAnsi="Times New Roman" w:cs="Times New Roman"/>
          <w:color w:val="000000"/>
          <w:sz w:val="25"/>
          <w:szCs w:val="25"/>
        </w:rPr>
        <w:t>, administration of the compounds for up to 24 weeks did not result in the formation of either benign or malignant skin tumors in mice (</w:t>
      </w:r>
      <w:hyperlink r:id="rId147" w:anchor="R100" w:history="1">
        <w:r w:rsidRPr="00A0258B">
          <w:rPr>
            <w:rFonts w:ascii="Times New Roman" w:eastAsia="Times New Roman" w:hAnsi="Times New Roman" w:cs="Times New Roman"/>
            <w:color w:val="642A8F"/>
            <w:sz w:val="25"/>
            <w:szCs w:val="25"/>
            <w:u w:val="single"/>
          </w:rPr>
          <w:t>100</w:t>
        </w:r>
      </w:hyperlink>
      <w:r w:rsidRPr="00A0258B">
        <w:rPr>
          <w:rFonts w:ascii="Times New Roman" w:eastAsia="Times New Roman" w:hAnsi="Times New Roman" w:cs="Times New Roman"/>
          <w:color w:val="000000"/>
          <w:sz w:val="25"/>
          <w:szCs w:val="25"/>
        </w:rPr>
        <w:t>). However, for critical safety sake, long-term evaluation of different animals administered with different doses is highly required. Furthermore, even though it was considered in general, the acute oral, dermal and airway toxicity is low (</w:t>
      </w:r>
      <w:hyperlink r:id="rId148" w:anchor="R5" w:history="1">
        <w:r w:rsidRPr="00A0258B">
          <w:rPr>
            <w:rFonts w:ascii="Times New Roman" w:eastAsia="Times New Roman" w:hAnsi="Times New Roman" w:cs="Times New Roman"/>
            <w:color w:val="642A8F"/>
            <w:sz w:val="25"/>
            <w:szCs w:val="25"/>
            <w:u w:val="single"/>
          </w:rPr>
          <w:t>5</w:t>
        </w:r>
      </w:hyperlink>
      <w:r w:rsidRPr="00A0258B">
        <w:rPr>
          <w:rFonts w:ascii="Times New Roman" w:eastAsia="Times New Roman" w:hAnsi="Times New Roman" w:cs="Times New Roman"/>
          <w:color w:val="000000"/>
          <w:sz w:val="25"/>
          <w:szCs w:val="25"/>
        </w:rPr>
        <w:t>), the administration routes should also be fully compared and appraised.</w:t>
      </w:r>
    </w:p>
    <w:p w:rsidR="00A0258B" w:rsidRPr="00A0258B" w:rsidRDefault="00A0258B" w:rsidP="00A0258B">
      <w:pPr>
        <w:shd w:val="clear" w:color="auto" w:fill="FFFFFF"/>
        <w:spacing w:after="0" w:line="240" w:lineRule="auto"/>
        <w:jc w:val="right"/>
        <w:rPr>
          <w:rFonts w:ascii="Arial" w:eastAsia="Times New Roman" w:hAnsi="Arial" w:cs="Arial"/>
          <w:color w:val="000000"/>
          <w:sz w:val="25"/>
          <w:szCs w:val="25"/>
        </w:rPr>
      </w:pPr>
      <w:hyperlink r:id="rId149" w:tooltip="Go to other sections in this page" w:history="1">
        <w:r w:rsidRPr="00A0258B">
          <w:rPr>
            <w:rFonts w:ascii="Arial" w:eastAsia="Times New Roman" w:hAnsi="Arial" w:cs="Arial"/>
            <w:color w:val="642A8F"/>
            <w:sz w:val="25"/>
            <w:szCs w:val="25"/>
            <w:u w:val="single"/>
          </w:rPr>
          <w:t>Go to:</w:t>
        </w:r>
      </w:hyperlink>
    </w:p>
    <w:p w:rsidR="00A0258B" w:rsidRPr="00A0258B" w:rsidRDefault="00A0258B" w:rsidP="00A0258B">
      <w:pPr>
        <w:shd w:val="clear" w:color="auto" w:fill="FFFFFF"/>
        <w:spacing w:after="0" w:line="240" w:lineRule="auto"/>
        <w:jc w:val="right"/>
        <w:rPr>
          <w:rFonts w:ascii="Arial" w:eastAsia="Times New Roman" w:hAnsi="Arial" w:cs="Arial"/>
          <w:color w:val="000000"/>
          <w:sz w:val="25"/>
          <w:szCs w:val="25"/>
        </w:rPr>
      </w:pPr>
      <w:hyperlink r:id="rId150" w:tooltip="Go to other sections in this page" w:history="1">
        <w:r w:rsidRPr="00A0258B">
          <w:rPr>
            <w:rFonts w:ascii="Arial" w:eastAsia="Times New Roman" w:hAnsi="Arial" w:cs="Arial"/>
            <w:color w:val="642A8F"/>
            <w:sz w:val="25"/>
            <w:szCs w:val="25"/>
            <w:u w:val="single"/>
          </w:rPr>
          <w:t>Go to:</w:t>
        </w:r>
      </w:hyperlink>
    </w:p>
    <w:p w:rsidR="00A0258B" w:rsidRPr="00A0258B" w:rsidRDefault="00A0258B" w:rsidP="00A0258B">
      <w:pPr>
        <w:pBdr>
          <w:bottom w:val="single" w:sz="6" w:space="0" w:color="97B0C8"/>
        </w:pBdr>
        <w:shd w:val="clear" w:color="auto" w:fill="FFFFFF"/>
        <w:spacing w:before="270" w:after="0" w:line="267" w:lineRule="atLeast"/>
        <w:outlineLvl w:val="1"/>
        <w:rPr>
          <w:rFonts w:ascii="Arial" w:eastAsia="Times New Roman" w:hAnsi="Arial" w:cs="Arial"/>
          <w:color w:val="985735"/>
          <w:sz w:val="28"/>
          <w:szCs w:val="28"/>
        </w:rPr>
      </w:pPr>
      <w:r w:rsidRPr="00A0258B">
        <w:rPr>
          <w:rFonts w:ascii="Arial" w:eastAsia="Times New Roman" w:hAnsi="Arial" w:cs="Arial"/>
          <w:color w:val="985735"/>
          <w:sz w:val="28"/>
          <w:szCs w:val="28"/>
        </w:rPr>
        <w:lastRenderedPageBreak/>
        <w:t>Future directions</w:t>
      </w:r>
    </w:p>
    <w:p w:rsidR="00A0258B" w:rsidRPr="00A0258B" w:rsidRDefault="00A0258B" w:rsidP="00A0258B">
      <w:pPr>
        <w:shd w:val="clear" w:color="auto" w:fill="FFFFFF"/>
        <w:spacing w:before="166" w:after="166"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Growth factors, such as bone morphogenetic protein 2 (</w:t>
      </w:r>
      <w:hyperlink r:id="rId151" w:anchor="R101" w:history="1">
        <w:r w:rsidRPr="00A0258B">
          <w:rPr>
            <w:rFonts w:ascii="Times New Roman" w:eastAsia="Times New Roman" w:hAnsi="Times New Roman" w:cs="Times New Roman"/>
            <w:color w:val="642A8F"/>
            <w:sz w:val="25"/>
            <w:szCs w:val="25"/>
            <w:u w:val="single"/>
          </w:rPr>
          <w:t>101</w:t>
        </w:r>
      </w:hyperlink>
      <w:r w:rsidRPr="00A0258B">
        <w:rPr>
          <w:rFonts w:ascii="Times New Roman" w:eastAsia="Times New Roman" w:hAnsi="Times New Roman" w:cs="Times New Roman"/>
          <w:color w:val="000000"/>
          <w:sz w:val="25"/>
          <w:szCs w:val="25"/>
        </w:rPr>
        <w:t>,</w:t>
      </w:r>
      <w:hyperlink r:id="rId152" w:anchor="R102" w:history="1">
        <w:r w:rsidRPr="00A0258B">
          <w:rPr>
            <w:rFonts w:ascii="Times New Roman" w:eastAsia="Times New Roman" w:hAnsi="Times New Roman" w:cs="Times New Roman"/>
            <w:color w:val="642A8F"/>
            <w:sz w:val="25"/>
            <w:szCs w:val="25"/>
            <w:u w:val="single"/>
          </w:rPr>
          <w:t>102</w:t>
        </w:r>
      </w:hyperlink>
      <w:r w:rsidRPr="00A0258B">
        <w:rPr>
          <w:rFonts w:ascii="Times New Roman" w:eastAsia="Times New Roman" w:hAnsi="Times New Roman" w:cs="Times New Roman"/>
          <w:color w:val="000000"/>
          <w:sz w:val="25"/>
          <w:szCs w:val="25"/>
        </w:rPr>
        <w:t>), 4 (</w:t>
      </w:r>
      <w:hyperlink r:id="rId153" w:anchor="R103" w:history="1">
        <w:r w:rsidRPr="00A0258B">
          <w:rPr>
            <w:rFonts w:ascii="Times New Roman" w:eastAsia="Times New Roman" w:hAnsi="Times New Roman" w:cs="Times New Roman"/>
            <w:color w:val="642A8F"/>
            <w:sz w:val="25"/>
            <w:szCs w:val="25"/>
            <w:u w:val="single"/>
          </w:rPr>
          <w:t>103</w:t>
        </w:r>
      </w:hyperlink>
      <w:r w:rsidRPr="00A0258B">
        <w:rPr>
          <w:rFonts w:ascii="Times New Roman" w:eastAsia="Times New Roman" w:hAnsi="Times New Roman" w:cs="Times New Roman"/>
          <w:color w:val="000000"/>
          <w:sz w:val="25"/>
          <w:szCs w:val="25"/>
        </w:rPr>
        <w:t>,</w:t>
      </w:r>
      <w:hyperlink r:id="rId154" w:anchor="R104" w:history="1">
        <w:r w:rsidRPr="00A0258B">
          <w:rPr>
            <w:rFonts w:ascii="Times New Roman" w:eastAsia="Times New Roman" w:hAnsi="Times New Roman" w:cs="Times New Roman"/>
            <w:color w:val="642A8F"/>
            <w:sz w:val="25"/>
            <w:szCs w:val="25"/>
            <w:u w:val="single"/>
          </w:rPr>
          <w:t>104</w:t>
        </w:r>
      </w:hyperlink>
      <w:r w:rsidRPr="00A0258B">
        <w:rPr>
          <w:rFonts w:ascii="Times New Roman" w:eastAsia="Times New Roman" w:hAnsi="Times New Roman" w:cs="Times New Roman"/>
          <w:color w:val="000000"/>
          <w:sz w:val="25"/>
          <w:szCs w:val="25"/>
        </w:rPr>
        <w:t>), 6 (</w:t>
      </w:r>
      <w:hyperlink r:id="rId155" w:anchor="R105" w:history="1">
        <w:r w:rsidRPr="00A0258B">
          <w:rPr>
            <w:rFonts w:ascii="Times New Roman" w:eastAsia="Times New Roman" w:hAnsi="Times New Roman" w:cs="Times New Roman"/>
            <w:color w:val="642A8F"/>
            <w:sz w:val="25"/>
            <w:szCs w:val="25"/>
            <w:u w:val="single"/>
          </w:rPr>
          <w:t>105</w:t>
        </w:r>
      </w:hyperlink>
      <w:r w:rsidRPr="00A0258B">
        <w:rPr>
          <w:rFonts w:ascii="Times New Roman" w:eastAsia="Times New Roman" w:hAnsi="Times New Roman" w:cs="Times New Roman"/>
          <w:color w:val="000000"/>
          <w:sz w:val="25"/>
          <w:szCs w:val="25"/>
        </w:rPr>
        <w:t>,</w:t>
      </w:r>
      <w:hyperlink r:id="rId156" w:anchor="R106" w:history="1">
        <w:r w:rsidRPr="00A0258B">
          <w:rPr>
            <w:rFonts w:ascii="Times New Roman" w:eastAsia="Times New Roman" w:hAnsi="Times New Roman" w:cs="Times New Roman"/>
            <w:color w:val="642A8F"/>
            <w:sz w:val="25"/>
            <w:szCs w:val="25"/>
            <w:u w:val="single"/>
          </w:rPr>
          <w:t>106</w:t>
        </w:r>
      </w:hyperlink>
      <w:r w:rsidRPr="00A0258B">
        <w:rPr>
          <w:rFonts w:ascii="Times New Roman" w:eastAsia="Times New Roman" w:hAnsi="Times New Roman" w:cs="Times New Roman"/>
          <w:color w:val="000000"/>
          <w:sz w:val="25"/>
          <w:szCs w:val="25"/>
        </w:rPr>
        <w:t>), growth and differentiation factor 5 (</w:t>
      </w:r>
      <w:hyperlink r:id="rId157" w:anchor="R107" w:history="1">
        <w:r w:rsidRPr="00A0258B">
          <w:rPr>
            <w:rFonts w:ascii="Times New Roman" w:eastAsia="Times New Roman" w:hAnsi="Times New Roman" w:cs="Times New Roman"/>
            <w:color w:val="642A8F"/>
            <w:sz w:val="25"/>
            <w:szCs w:val="25"/>
            <w:u w:val="single"/>
          </w:rPr>
          <w:t>107</w:t>
        </w:r>
      </w:hyperlink>
      <w:r w:rsidRPr="00A0258B">
        <w:rPr>
          <w:rFonts w:ascii="Times New Roman" w:eastAsia="Times New Roman" w:hAnsi="Times New Roman" w:cs="Times New Roman"/>
          <w:color w:val="000000"/>
          <w:sz w:val="25"/>
          <w:szCs w:val="25"/>
        </w:rPr>
        <w:t>,</w:t>
      </w:r>
      <w:hyperlink r:id="rId158" w:anchor="R108" w:history="1">
        <w:r w:rsidRPr="00A0258B">
          <w:rPr>
            <w:rFonts w:ascii="Times New Roman" w:eastAsia="Times New Roman" w:hAnsi="Times New Roman" w:cs="Times New Roman"/>
            <w:color w:val="642A8F"/>
            <w:sz w:val="25"/>
            <w:szCs w:val="25"/>
            <w:u w:val="single"/>
          </w:rPr>
          <w:t>108</w:t>
        </w:r>
      </w:hyperlink>
      <w:r w:rsidRPr="00A0258B">
        <w:rPr>
          <w:rFonts w:ascii="Times New Roman" w:eastAsia="Times New Roman" w:hAnsi="Times New Roman" w:cs="Times New Roman"/>
          <w:color w:val="000000"/>
          <w:sz w:val="25"/>
          <w:szCs w:val="25"/>
        </w:rPr>
        <w:t>), transforming growth factor-β (</w:t>
      </w:r>
      <w:hyperlink r:id="rId159" w:anchor="R109" w:history="1">
        <w:r w:rsidRPr="00A0258B">
          <w:rPr>
            <w:rFonts w:ascii="Times New Roman" w:eastAsia="Times New Roman" w:hAnsi="Times New Roman" w:cs="Times New Roman"/>
            <w:color w:val="642A8F"/>
            <w:sz w:val="25"/>
            <w:szCs w:val="25"/>
            <w:u w:val="single"/>
          </w:rPr>
          <w:t>109</w:t>
        </w:r>
      </w:hyperlink>
      <w:r w:rsidRPr="00A0258B">
        <w:rPr>
          <w:rFonts w:ascii="Times New Roman" w:eastAsia="Times New Roman" w:hAnsi="Times New Roman" w:cs="Times New Roman"/>
          <w:color w:val="000000"/>
          <w:sz w:val="25"/>
          <w:szCs w:val="25"/>
        </w:rPr>
        <w:t>–</w:t>
      </w:r>
      <w:hyperlink r:id="rId160" w:anchor="R112" w:history="1">
        <w:r w:rsidRPr="00A0258B">
          <w:rPr>
            <w:rFonts w:ascii="Times New Roman" w:eastAsia="Times New Roman" w:hAnsi="Times New Roman" w:cs="Times New Roman"/>
            <w:color w:val="642A8F"/>
            <w:sz w:val="25"/>
            <w:szCs w:val="25"/>
            <w:u w:val="single"/>
          </w:rPr>
          <w:t>112</w:t>
        </w:r>
      </w:hyperlink>
      <w:r w:rsidRPr="00A0258B">
        <w:rPr>
          <w:rFonts w:ascii="Times New Roman" w:eastAsia="Times New Roman" w:hAnsi="Times New Roman" w:cs="Times New Roman"/>
          <w:color w:val="000000"/>
          <w:sz w:val="25"/>
          <w:szCs w:val="25"/>
        </w:rPr>
        <w:t>), insulin-like growth factor 1 (</w:t>
      </w:r>
      <w:hyperlink r:id="rId161" w:anchor="R113" w:history="1">
        <w:r w:rsidRPr="00A0258B">
          <w:rPr>
            <w:rFonts w:ascii="Times New Roman" w:eastAsia="Times New Roman" w:hAnsi="Times New Roman" w:cs="Times New Roman"/>
            <w:color w:val="642A8F"/>
            <w:sz w:val="25"/>
            <w:szCs w:val="25"/>
            <w:u w:val="single"/>
          </w:rPr>
          <w:t>113</w:t>
        </w:r>
      </w:hyperlink>
      <w:r w:rsidRPr="00A0258B">
        <w:rPr>
          <w:rFonts w:ascii="Times New Roman" w:eastAsia="Times New Roman" w:hAnsi="Times New Roman" w:cs="Times New Roman"/>
          <w:color w:val="000000"/>
          <w:sz w:val="25"/>
          <w:szCs w:val="25"/>
        </w:rPr>
        <w:t>,</w:t>
      </w:r>
      <w:hyperlink r:id="rId162" w:anchor="R114" w:history="1">
        <w:r w:rsidRPr="00A0258B">
          <w:rPr>
            <w:rFonts w:ascii="Times New Roman" w:eastAsia="Times New Roman" w:hAnsi="Times New Roman" w:cs="Times New Roman"/>
            <w:color w:val="642A8F"/>
            <w:sz w:val="25"/>
            <w:szCs w:val="25"/>
            <w:u w:val="single"/>
          </w:rPr>
          <w:t>114</w:t>
        </w:r>
      </w:hyperlink>
      <w:r w:rsidRPr="00A0258B">
        <w:rPr>
          <w:rFonts w:ascii="Times New Roman" w:eastAsia="Times New Roman" w:hAnsi="Times New Roman" w:cs="Times New Roman"/>
          <w:color w:val="000000"/>
          <w:sz w:val="25"/>
          <w:szCs w:val="25"/>
        </w:rPr>
        <w:t>) and platelet-derived growth factor (</w:t>
      </w:r>
      <w:hyperlink r:id="rId163" w:anchor="R115" w:history="1">
        <w:r w:rsidRPr="00A0258B">
          <w:rPr>
            <w:rFonts w:ascii="Times New Roman" w:eastAsia="Times New Roman" w:hAnsi="Times New Roman" w:cs="Times New Roman"/>
            <w:color w:val="642A8F"/>
            <w:sz w:val="25"/>
            <w:szCs w:val="25"/>
            <w:u w:val="single"/>
          </w:rPr>
          <w:t>115</w:t>
        </w:r>
      </w:hyperlink>
      <w:r w:rsidRPr="00A0258B">
        <w:rPr>
          <w:rFonts w:ascii="Times New Roman" w:eastAsia="Times New Roman" w:hAnsi="Times New Roman" w:cs="Times New Roman"/>
          <w:color w:val="000000"/>
          <w:sz w:val="25"/>
          <w:szCs w:val="25"/>
        </w:rPr>
        <w:t>,</w:t>
      </w:r>
      <w:hyperlink r:id="rId164" w:anchor="R116" w:history="1">
        <w:r w:rsidRPr="00A0258B">
          <w:rPr>
            <w:rFonts w:ascii="Times New Roman" w:eastAsia="Times New Roman" w:hAnsi="Times New Roman" w:cs="Times New Roman"/>
            <w:color w:val="642A8F"/>
            <w:sz w:val="25"/>
            <w:szCs w:val="25"/>
            <w:u w:val="single"/>
          </w:rPr>
          <w:t>116</w:t>
        </w:r>
      </w:hyperlink>
      <w:r w:rsidRPr="00A0258B">
        <w:rPr>
          <w:rFonts w:ascii="Times New Roman" w:eastAsia="Times New Roman" w:hAnsi="Times New Roman" w:cs="Times New Roman"/>
          <w:color w:val="000000"/>
          <w:sz w:val="25"/>
          <w:szCs w:val="25"/>
        </w:rPr>
        <w:t>), have been extensively investigated and shown beneficial effects in orthopaedic research. However, their applications were significantly limited by the relatively short half-life of the factors due to the enzymatic degradation under a biologically environmental condition. As the therapeutic potentials of C</w:t>
      </w:r>
      <w:r w:rsidRPr="00A0258B">
        <w:rPr>
          <w:rFonts w:ascii="Times New Roman" w:eastAsia="Times New Roman" w:hAnsi="Times New Roman" w:cs="Times New Roman"/>
          <w:color w:val="000000"/>
          <w:sz w:val="21"/>
          <w:szCs w:val="21"/>
          <w:vertAlign w:val="subscript"/>
        </w:rPr>
        <w:t>60</w:t>
      </w:r>
      <w:r w:rsidRPr="00A0258B">
        <w:rPr>
          <w:rFonts w:ascii="Times New Roman" w:eastAsia="Times New Roman" w:hAnsi="Times New Roman" w:cs="Times New Roman"/>
          <w:color w:val="000000"/>
          <w:sz w:val="25"/>
          <w:szCs w:val="25"/>
        </w:rPr>
        <w:t> have been expanded by linking with a variety of functional moieties such as peptides (</w:t>
      </w:r>
      <w:hyperlink r:id="rId165" w:anchor="R117" w:history="1">
        <w:r w:rsidRPr="00A0258B">
          <w:rPr>
            <w:rFonts w:ascii="Times New Roman" w:eastAsia="Times New Roman" w:hAnsi="Times New Roman" w:cs="Times New Roman"/>
            <w:color w:val="642A8F"/>
            <w:sz w:val="25"/>
            <w:szCs w:val="25"/>
            <w:u w:val="single"/>
          </w:rPr>
          <w:t>117</w:t>
        </w:r>
      </w:hyperlink>
      <w:r w:rsidRPr="00A0258B">
        <w:rPr>
          <w:rFonts w:ascii="Times New Roman" w:eastAsia="Times New Roman" w:hAnsi="Times New Roman" w:cs="Times New Roman"/>
          <w:color w:val="000000"/>
          <w:sz w:val="25"/>
          <w:szCs w:val="25"/>
        </w:rPr>
        <w:t>), oligonucleotides (</w:t>
      </w:r>
      <w:hyperlink r:id="rId166" w:anchor="R118" w:history="1">
        <w:r w:rsidRPr="00A0258B">
          <w:rPr>
            <w:rFonts w:ascii="Times New Roman" w:eastAsia="Times New Roman" w:hAnsi="Times New Roman" w:cs="Times New Roman"/>
            <w:color w:val="642A8F"/>
            <w:sz w:val="25"/>
            <w:szCs w:val="25"/>
            <w:u w:val="single"/>
          </w:rPr>
          <w:t>118</w:t>
        </w:r>
      </w:hyperlink>
      <w:r w:rsidRPr="00A0258B">
        <w:rPr>
          <w:rFonts w:ascii="Times New Roman" w:eastAsia="Times New Roman" w:hAnsi="Times New Roman" w:cs="Times New Roman"/>
          <w:color w:val="000000"/>
          <w:sz w:val="25"/>
          <w:szCs w:val="25"/>
        </w:rPr>
        <w:t>), porphyrins (</w:t>
      </w:r>
      <w:hyperlink r:id="rId167" w:anchor="R119" w:history="1">
        <w:r w:rsidRPr="00A0258B">
          <w:rPr>
            <w:rFonts w:ascii="Times New Roman" w:eastAsia="Times New Roman" w:hAnsi="Times New Roman" w:cs="Times New Roman"/>
            <w:color w:val="642A8F"/>
            <w:sz w:val="25"/>
            <w:szCs w:val="25"/>
            <w:u w:val="single"/>
          </w:rPr>
          <w:t>119</w:t>
        </w:r>
      </w:hyperlink>
      <w:r w:rsidRPr="00A0258B">
        <w:rPr>
          <w:rFonts w:ascii="Times New Roman" w:eastAsia="Times New Roman" w:hAnsi="Times New Roman" w:cs="Times New Roman"/>
          <w:color w:val="000000"/>
          <w:sz w:val="25"/>
          <w:szCs w:val="25"/>
        </w:rPr>
        <w:t>), flavonoids (</w:t>
      </w:r>
      <w:hyperlink r:id="rId168" w:anchor="R120" w:history="1">
        <w:r w:rsidRPr="00A0258B">
          <w:rPr>
            <w:rFonts w:ascii="Times New Roman" w:eastAsia="Times New Roman" w:hAnsi="Times New Roman" w:cs="Times New Roman"/>
            <w:color w:val="642A8F"/>
            <w:sz w:val="25"/>
            <w:szCs w:val="25"/>
            <w:u w:val="single"/>
          </w:rPr>
          <w:t>120</w:t>
        </w:r>
      </w:hyperlink>
      <w:r w:rsidRPr="00A0258B">
        <w:rPr>
          <w:rFonts w:ascii="Times New Roman" w:eastAsia="Times New Roman" w:hAnsi="Times New Roman" w:cs="Times New Roman"/>
          <w:color w:val="000000"/>
          <w:sz w:val="25"/>
          <w:szCs w:val="25"/>
        </w:rPr>
        <w:t>), etc., we hypothesized that linking C</w:t>
      </w:r>
      <w:r w:rsidRPr="00A0258B">
        <w:rPr>
          <w:rFonts w:ascii="Times New Roman" w:eastAsia="Times New Roman" w:hAnsi="Times New Roman" w:cs="Times New Roman"/>
          <w:color w:val="000000"/>
          <w:sz w:val="21"/>
          <w:szCs w:val="21"/>
          <w:vertAlign w:val="subscript"/>
        </w:rPr>
        <w:t>60</w:t>
      </w:r>
      <w:r w:rsidRPr="00A0258B">
        <w:rPr>
          <w:rFonts w:ascii="Times New Roman" w:eastAsia="Times New Roman" w:hAnsi="Times New Roman" w:cs="Times New Roman"/>
          <w:color w:val="000000"/>
          <w:sz w:val="25"/>
          <w:szCs w:val="25"/>
        </w:rPr>
        <w:t> with growth factors is another way to develop its potential as a therapeutic agent against musculoskeletal disorders. Right now the biggest challenge is to screen out the most feasible hydrophilic linkers which connect growth factors and C</w:t>
      </w:r>
      <w:r w:rsidRPr="00A0258B">
        <w:rPr>
          <w:rFonts w:ascii="Times New Roman" w:eastAsia="Times New Roman" w:hAnsi="Times New Roman" w:cs="Times New Roman"/>
          <w:color w:val="000000"/>
          <w:sz w:val="21"/>
          <w:szCs w:val="21"/>
          <w:vertAlign w:val="subscript"/>
        </w:rPr>
        <w:t>60</w:t>
      </w:r>
      <w:r w:rsidRPr="00A0258B">
        <w:rPr>
          <w:rFonts w:ascii="Times New Roman" w:eastAsia="Times New Roman" w:hAnsi="Times New Roman" w:cs="Times New Roman"/>
          <w:color w:val="000000"/>
          <w:sz w:val="25"/>
          <w:szCs w:val="25"/>
        </w:rPr>
        <w:t> core well and do not affect the beneficial effects of either side.</w:t>
      </w:r>
    </w:p>
    <w:p w:rsidR="00A0258B" w:rsidRPr="00A0258B" w:rsidRDefault="00A0258B" w:rsidP="00A0258B">
      <w:pPr>
        <w:shd w:val="clear" w:color="auto" w:fill="FFFFFF"/>
        <w:spacing w:before="166" w:after="166"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Nanotechnology, concerning C</w:t>
      </w:r>
      <w:r w:rsidRPr="00A0258B">
        <w:rPr>
          <w:rFonts w:ascii="Times New Roman" w:eastAsia="Times New Roman" w:hAnsi="Times New Roman" w:cs="Times New Roman"/>
          <w:color w:val="000000"/>
          <w:sz w:val="21"/>
          <w:szCs w:val="21"/>
          <w:vertAlign w:val="subscript"/>
        </w:rPr>
        <w:t>60</w:t>
      </w:r>
      <w:r w:rsidRPr="00A0258B">
        <w:rPr>
          <w:rFonts w:ascii="Times New Roman" w:eastAsia="Times New Roman" w:hAnsi="Times New Roman" w:cs="Times New Roman"/>
          <w:color w:val="000000"/>
          <w:sz w:val="25"/>
          <w:szCs w:val="25"/>
        </w:rPr>
        <w:t> and derivatives, has shown promising prospect due to the unique features of these nanoparticles: the solubility and stability can be greatly enhanced; the drug delivery targets, as well as the efficacy and safety of the delivery strategy can be modified by coupling the core with functional groups; feasibilities of continuous and stable monitoring </w:t>
      </w:r>
      <w:r w:rsidRPr="00A0258B">
        <w:rPr>
          <w:rFonts w:ascii="Times New Roman" w:eastAsia="Times New Roman" w:hAnsi="Times New Roman" w:cs="Times New Roman"/>
          <w:i/>
          <w:iCs/>
          <w:color w:val="000000"/>
          <w:sz w:val="25"/>
          <w:szCs w:val="25"/>
        </w:rPr>
        <w:t>in situ</w:t>
      </w:r>
      <w:r w:rsidRPr="00A0258B">
        <w:rPr>
          <w:rFonts w:ascii="Times New Roman" w:eastAsia="Times New Roman" w:hAnsi="Times New Roman" w:cs="Times New Roman"/>
          <w:color w:val="000000"/>
          <w:sz w:val="25"/>
          <w:szCs w:val="25"/>
        </w:rPr>
        <w:t>; resistance to immunoreaction; non-biodegradability (</w:t>
      </w:r>
      <w:hyperlink r:id="rId169" w:anchor="R121" w:history="1">
        <w:r w:rsidRPr="00A0258B">
          <w:rPr>
            <w:rFonts w:ascii="Times New Roman" w:eastAsia="Times New Roman" w:hAnsi="Times New Roman" w:cs="Times New Roman"/>
            <w:color w:val="642A8F"/>
            <w:sz w:val="25"/>
            <w:szCs w:val="25"/>
            <w:u w:val="single"/>
          </w:rPr>
          <w:t>121</w:t>
        </w:r>
      </w:hyperlink>
      <w:r w:rsidRPr="00A0258B">
        <w:rPr>
          <w:rFonts w:ascii="Times New Roman" w:eastAsia="Times New Roman" w:hAnsi="Times New Roman" w:cs="Times New Roman"/>
          <w:color w:val="000000"/>
          <w:sz w:val="25"/>
          <w:szCs w:val="25"/>
        </w:rPr>
        <w:t>). However, hypersensitivity, unexpected changes in pharmacokinetic behaviors, possible reactions with tissues, as well as possible accumulation in the body, need to be extensively investigated.</w:t>
      </w:r>
    </w:p>
    <w:p w:rsidR="00A0258B" w:rsidRPr="00A0258B" w:rsidRDefault="00A0258B" w:rsidP="00A0258B">
      <w:pPr>
        <w:shd w:val="clear" w:color="auto" w:fill="FFFFFF"/>
        <w:spacing w:after="0" w:line="240" w:lineRule="auto"/>
        <w:jc w:val="right"/>
        <w:rPr>
          <w:rFonts w:ascii="Arial" w:eastAsia="Times New Roman" w:hAnsi="Arial" w:cs="Arial"/>
          <w:color w:val="000000"/>
          <w:sz w:val="25"/>
          <w:szCs w:val="25"/>
        </w:rPr>
      </w:pPr>
      <w:hyperlink r:id="rId170" w:tooltip="Go to other sections in this page" w:history="1">
        <w:r w:rsidRPr="00A0258B">
          <w:rPr>
            <w:rFonts w:ascii="Arial" w:eastAsia="Times New Roman" w:hAnsi="Arial" w:cs="Arial"/>
            <w:color w:val="642A8F"/>
            <w:sz w:val="25"/>
            <w:szCs w:val="25"/>
            <w:u w:val="single"/>
          </w:rPr>
          <w:t>Go to:</w:t>
        </w:r>
      </w:hyperlink>
    </w:p>
    <w:p w:rsidR="00A0258B" w:rsidRPr="00A0258B" w:rsidRDefault="00A0258B" w:rsidP="00A0258B">
      <w:pPr>
        <w:shd w:val="clear" w:color="auto" w:fill="FFFFFF"/>
        <w:spacing w:after="0" w:line="240" w:lineRule="auto"/>
        <w:jc w:val="right"/>
        <w:rPr>
          <w:rFonts w:ascii="Arial" w:eastAsia="Times New Roman" w:hAnsi="Arial" w:cs="Arial"/>
          <w:color w:val="000000"/>
          <w:sz w:val="25"/>
          <w:szCs w:val="25"/>
        </w:rPr>
      </w:pPr>
      <w:hyperlink r:id="rId171" w:tooltip="Go to other sections in this page" w:history="1">
        <w:r w:rsidRPr="00A0258B">
          <w:rPr>
            <w:rFonts w:ascii="Arial" w:eastAsia="Times New Roman" w:hAnsi="Arial" w:cs="Arial"/>
            <w:color w:val="642A8F"/>
            <w:sz w:val="25"/>
            <w:szCs w:val="25"/>
            <w:u w:val="single"/>
          </w:rPr>
          <w:t>Go to:</w:t>
        </w:r>
      </w:hyperlink>
    </w:p>
    <w:p w:rsidR="00A0258B" w:rsidRPr="00A0258B" w:rsidRDefault="00A0258B" w:rsidP="00A0258B">
      <w:pPr>
        <w:pBdr>
          <w:bottom w:val="single" w:sz="6" w:space="0" w:color="97B0C8"/>
        </w:pBdr>
        <w:shd w:val="clear" w:color="auto" w:fill="FFFFFF"/>
        <w:spacing w:before="270" w:after="0" w:line="267" w:lineRule="atLeast"/>
        <w:outlineLvl w:val="1"/>
        <w:rPr>
          <w:rFonts w:ascii="Arial" w:eastAsia="Times New Roman" w:hAnsi="Arial" w:cs="Arial"/>
          <w:color w:val="985735"/>
          <w:sz w:val="28"/>
          <w:szCs w:val="28"/>
        </w:rPr>
      </w:pPr>
      <w:r w:rsidRPr="00A0258B">
        <w:rPr>
          <w:rFonts w:ascii="Arial" w:eastAsia="Times New Roman" w:hAnsi="Arial" w:cs="Arial"/>
          <w:color w:val="985735"/>
          <w:sz w:val="28"/>
          <w:szCs w:val="28"/>
        </w:rPr>
        <w:t>Conclusions</w:t>
      </w:r>
    </w:p>
    <w:p w:rsidR="00A0258B" w:rsidRPr="00A0258B" w:rsidRDefault="00A0258B" w:rsidP="00A0258B">
      <w:pPr>
        <w:shd w:val="clear" w:color="auto" w:fill="FFFFFF"/>
        <w:spacing w:before="166" w:after="166"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C</w:t>
      </w:r>
      <w:r w:rsidRPr="00A0258B">
        <w:rPr>
          <w:rFonts w:ascii="Times New Roman" w:eastAsia="Times New Roman" w:hAnsi="Times New Roman" w:cs="Times New Roman"/>
          <w:color w:val="000000"/>
          <w:sz w:val="21"/>
          <w:szCs w:val="21"/>
          <w:vertAlign w:val="subscript"/>
        </w:rPr>
        <w:t>60</w:t>
      </w:r>
      <w:r w:rsidRPr="00A0258B">
        <w:rPr>
          <w:rFonts w:ascii="Times New Roman" w:eastAsia="Times New Roman" w:hAnsi="Times New Roman" w:cs="Times New Roman"/>
          <w:color w:val="000000"/>
          <w:sz w:val="25"/>
          <w:szCs w:val="25"/>
        </w:rPr>
        <w:t> and derivatives have shown successful applications in intensive biomedical research due to their unparalleled physical and chemical properties. The current research hotspots are centered on compounds highly purifying, surface modification with functional groups, linking with desirable molecules for targeted or designated pharmacotherapy. For further orthopaedic research, especially </w:t>
      </w:r>
      <w:r w:rsidRPr="00A0258B">
        <w:rPr>
          <w:rFonts w:ascii="Times New Roman" w:eastAsia="Times New Roman" w:hAnsi="Times New Roman" w:cs="Times New Roman"/>
          <w:i/>
          <w:iCs/>
          <w:color w:val="000000"/>
          <w:sz w:val="25"/>
          <w:szCs w:val="25"/>
        </w:rPr>
        <w:t>in vivo</w:t>
      </w:r>
      <w:r w:rsidRPr="00A0258B">
        <w:rPr>
          <w:rFonts w:ascii="Times New Roman" w:eastAsia="Times New Roman" w:hAnsi="Times New Roman" w:cs="Times New Roman"/>
          <w:color w:val="000000"/>
          <w:sz w:val="25"/>
          <w:szCs w:val="25"/>
        </w:rPr>
        <w:t> applications, the pharmacokinetics and toxicology of these agents as local/systemic administration need to be carefully determined.</w:t>
      </w:r>
    </w:p>
    <w:p w:rsidR="00A0258B" w:rsidRPr="00A0258B" w:rsidRDefault="00A0258B" w:rsidP="00A0258B">
      <w:pPr>
        <w:shd w:val="clear" w:color="auto" w:fill="FFFFFF"/>
        <w:spacing w:after="0" w:line="240" w:lineRule="auto"/>
        <w:jc w:val="right"/>
        <w:rPr>
          <w:rFonts w:ascii="Arial" w:eastAsia="Times New Roman" w:hAnsi="Arial" w:cs="Arial"/>
          <w:color w:val="000000"/>
          <w:sz w:val="25"/>
          <w:szCs w:val="25"/>
        </w:rPr>
      </w:pPr>
      <w:hyperlink r:id="rId172" w:tooltip="Go to other sections in this page" w:history="1">
        <w:r w:rsidRPr="00A0258B">
          <w:rPr>
            <w:rFonts w:ascii="Arial" w:eastAsia="Times New Roman" w:hAnsi="Arial" w:cs="Arial"/>
            <w:color w:val="642A8F"/>
            <w:sz w:val="25"/>
            <w:szCs w:val="25"/>
            <w:u w:val="single"/>
          </w:rPr>
          <w:t>Go to:</w:t>
        </w:r>
      </w:hyperlink>
    </w:p>
    <w:p w:rsidR="00A0258B" w:rsidRPr="00A0258B" w:rsidRDefault="00A0258B" w:rsidP="00A0258B">
      <w:pPr>
        <w:shd w:val="clear" w:color="auto" w:fill="FFFFFF"/>
        <w:spacing w:after="0" w:line="240" w:lineRule="auto"/>
        <w:jc w:val="right"/>
        <w:rPr>
          <w:rFonts w:ascii="Arial" w:eastAsia="Times New Roman" w:hAnsi="Arial" w:cs="Arial"/>
          <w:color w:val="000000"/>
          <w:sz w:val="25"/>
          <w:szCs w:val="25"/>
        </w:rPr>
      </w:pPr>
      <w:hyperlink r:id="rId173" w:tooltip="Go to other sections in this page" w:history="1">
        <w:r w:rsidRPr="00A0258B">
          <w:rPr>
            <w:rFonts w:ascii="Arial" w:eastAsia="Times New Roman" w:hAnsi="Arial" w:cs="Arial"/>
            <w:color w:val="642A8F"/>
            <w:sz w:val="25"/>
            <w:szCs w:val="25"/>
            <w:u w:val="single"/>
          </w:rPr>
          <w:t>Go to:</w:t>
        </w:r>
      </w:hyperlink>
    </w:p>
    <w:p w:rsidR="00A0258B" w:rsidRPr="00A0258B" w:rsidRDefault="00A0258B" w:rsidP="00A0258B">
      <w:pPr>
        <w:pBdr>
          <w:bottom w:val="single" w:sz="6" w:space="0" w:color="97B0C8"/>
        </w:pBdr>
        <w:shd w:val="clear" w:color="auto" w:fill="FFFFFF"/>
        <w:spacing w:before="270" w:after="0" w:line="267" w:lineRule="atLeast"/>
        <w:outlineLvl w:val="1"/>
        <w:rPr>
          <w:rFonts w:ascii="Arial" w:eastAsia="Times New Roman" w:hAnsi="Arial" w:cs="Arial"/>
          <w:color w:val="985735"/>
          <w:sz w:val="28"/>
          <w:szCs w:val="28"/>
        </w:rPr>
      </w:pPr>
      <w:r w:rsidRPr="00A0258B">
        <w:rPr>
          <w:rFonts w:ascii="Arial" w:eastAsia="Times New Roman" w:hAnsi="Arial" w:cs="Arial"/>
          <w:color w:val="985735"/>
          <w:sz w:val="28"/>
          <w:szCs w:val="28"/>
        </w:rPr>
        <w:t>Footnotes</w:t>
      </w:r>
    </w:p>
    <w:p w:rsidR="00A0258B" w:rsidRPr="00A0258B" w:rsidRDefault="00A0258B" w:rsidP="00A0258B">
      <w:pPr>
        <w:shd w:val="clear" w:color="auto" w:fill="FFFFFF"/>
        <w:spacing w:after="166" w:line="240" w:lineRule="auto"/>
        <w:rPr>
          <w:rFonts w:ascii="Arial" w:eastAsia="Times New Roman" w:hAnsi="Arial" w:cs="Arial"/>
          <w:color w:val="000000"/>
          <w:sz w:val="20"/>
          <w:szCs w:val="20"/>
        </w:rPr>
      </w:pPr>
      <w:r w:rsidRPr="00A0258B">
        <w:rPr>
          <w:rFonts w:ascii="Arial" w:eastAsia="Times New Roman" w:hAnsi="Arial" w:cs="Arial"/>
          <w:b/>
          <w:bCs/>
          <w:color w:val="000000"/>
          <w:sz w:val="20"/>
          <w:szCs w:val="20"/>
        </w:rPr>
        <w:t>Declaration of interest</w:t>
      </w:r>
    </w:p>
    <w:p w:rsidR="00A0258B" w:rsidRPr="00A0258B" w:rsidRDefault="00A0258B" w:rsidP="00A0258B">
      <w:pPr>
        <w:shd w:val="clear" w:color="auto" w:fill="FFFFFF"/>
        <w:spacing w:before="166" w:line="240" w:lineRule="auto"/>
        <w:rPr>
          <w:rFonts w:ascii="Arial" w:eastAsia="Times New Roman" w:hAnsi="Arial" w:cs="Arial"/>
          <w:color w:val="000000"/>
          <w:sz w:val="20"/>
          <w:szCs w:val="20"/>
        </w:rPr>
      </w:pPr>
      <w:r w:rsidRPr="00A0258B">
        <w:rPr>
          <w:rFonts w:ascii="Arial" w:eastAsia="Times New Roman" w:hAnsi="Arial" w:cs="Arial"/>
          <w:color w:val="000000"/>
          <w:sz w:val="20"/>
          <w:szCs w:val="20"/>
        </w:rPr>
        <w:t>We thank the financial supports from NIH (R21AR57512) and NASS. The authors report no conflicts of interest. The authors alone are responsible for the content and writing of the paper.</w:t>
      </w:r>
    </w:p>
    <w:p w:rsidR="00A0258B" w:rsidRPr="00A0258B" w:rsidRDefault="00A0258B" w:rsidP="00A0258B">
      <w:pPr>
        <w:shd w:val="clear" w:color="auto" w:fill="FFFFFF"/>
        <w:spacing w:after="0" w:line="240" w:lineRule="auto"/>
        <w:jc w:val="right"/>
        <w:rPr>
          <w:rFonts w:ascii="Arial" w:eastAsia="Times New Roman" w:hAnsi="Arial" w:cs="Arial"/>
          <w:color w:val="000000"/>
          <w:sz w:val="25"/>
          <w:szCs w:val="25"/>
        </w:rPr>
      </w:pPr>
      <w:hyperlink r:id="rId174" w:tooltip="Go to other sections in this page" w:history="1">
        <w:r w:rsidRPr="00A0258B">
          <w:rPr>
            <w:rFonts w:ascii="Arial" w:eastAsia="Times New Roman" w:hAnsi="Arial" w:cs="Arial"/>
            <w:color w:val="642A8F"/>
            <w:sz w:val="25"/>
            <w:szCs w:val="25"/>
            <w:u w:val="single"/>
          </w:rPr>
          <w:t>Go to:</w:t>
        </w:r>
      </w:hyperlink>
    </w:p>
    <w:p w:rsidR="00A0258B" w:rsidRPr="00A0258B" w:rsidRDefault="00A0258B" w:rsidP="00A0258B">
      <w:pPr>
        <w:shd w:val="clear" w:color="auto" w:fill="FFFFFF"/>
        <w:spacing w:after="0" w:line="240" w:lineRule="auto"/>
        <w:jc w:val="right"/>
        <w:rPr>
          <w:rFonts w:ascii="Arial" w:eastAsia="Times New Roman" w:hAnsi="Arial" w:cs="Arial"/>
          <w:color w:val="000000"/>
          <w:sz w:val="25"/>
          <w:szCs w:val="25"/>
        </w:rPr>
      </w:pPr>
      <w:hyperlink r:id="rId175" w:tooltip="Go to other sections in this page" w:history="1">
        <w:r w:rsidRPr="00A0258B">
          <w:rPr>
            <w:rFonts w:ascii="Arial" w:eastAsia="Times New Roman" w:hAnsi="Arial" w:cs="Arial"/>
            <w:color w:val="642A8F"/>
            <w:sz w:val="25"/>
            <w:szCs w:val="25"/>
            <w:u w:val="single"/>
          </w:rPr>
          <w:t>Go to:</w:t>
        </w:r>
      </w:hyperlink>
    </w:p>
    <w:p w:rsidR="00A0258B" w:rsidRPr="00A0258B" w:rsidRDefault="00A0258B" w:rsidP="00A0258B">
      <w:pPr>
        <w:pBdr>
          <w:bottom w:val="single" w:sz="6" w:space="0" w:color="97B0C8"/>
        </w:pBdr>
        <w:shd w:val="clear" w:color="auto" w:fill="FFFFFF"/>
        <w:spacing w:before="270" w:after="0" w:line="267" w:lineRule="atLeast"/>
        <w:outlineLvl w:val="1"/>
        <w:rPr>
          <w:rFonts w:ascii="Arial" w:eastAsia="Times New Roman" w:hAnsi="Arial" w:cs="Arial"/>
          <w:color w:val="985735"/>
          <w:sz w:val="28"/>
          <w:szCs w:val="28"/>
        </w:rPr>
      </w:pPr>
      <w:r w:rsidRPr="00A0258B">
        <w:rPr>
          <w:rFonts w:ascii="Arial" w:eastAsia="Times New Roman" w:hAnsi="Arial" w:cs="Arial"/>
          <w:color w:val="985735"/>
          <w:sz w:val="28"/>
          <w:szCs w:val="28"/>
        </w:rPr>
        <w:t>References</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lastRenderedPageBreak/>
        <w:t>1. Aschberger K, Johnston HJ, Stone V, Aitken RJ, Tran CL, Hankin SM, et al. Review of fullerene toxicity and exposure – appraisal of a human health risk assessment, based on open literature. Regul Toxicol Pharmacol. 2010;58:455–73. [</w:t>
      </w:r>
      <w:hyperlink r:id="rId176"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2. Kroto HW, Heath JR, Obrien SC, Curl RF, Smalley RE. C-60 – Buckminsterfullerene. Nature. 1985;318:162–3.</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3. Satoh M, Takayanagi I. Pharmacological studies on fullerene (C60), a novel carbon allotrope, and its derivatives. J Pharmacol Sci. 2006;100:513–18. [</w:t>
      </w:r>
      <w:hyperlink r:id="rId177"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4. Krusic PJ, Wasserman E, Keizer PN, Morton JR, Preston KF. Radical reactions of c60. Science. 1991;254:1183–5. [</w:t>
      </w:r>
      <w:hyperlink r:id="rId178"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5. Nielsen GD, Roursgaard M, Jensen KA, Poulsen SS, Larsen ST. In vivo biology and toxicology of fullerenes and their derivatives. Basic Clin Pharmacol Toxicol. 2008;103:197–208. [</w:t>
      </w:r>
      <w:hyperlink r:id="rId179"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6. Bosi S, Da Ros T, Spalluto G, Prato M. Fullerene derivatives: an attractive tool for biological applications. Euro J Med Chem. 2003;38:913–23. [</w:t>
      </w:r>
      <w:hyperlink r:id="rId180"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7. Ray PD, Huang BW, Tsuji Y. Reactive oxygen species (ROS) homeostasis and redox regulation in cellular signaling. Cell Signal. 2012;24:981–90. [</w:t>
      </w:r>
      <w:hyperlink r:id="rId181" w:history="1">
        <w:r w:rsidRPr="00A0258B">
          <w:rPr>
            <w:rFonts w:ascii="Times New Roman" w:eastAsia="Times New Roman" w:hAnsi="Times New Roman" w:cs="Times New Roman"/>
            <w:color w:val="642A8F"/>
            <w:sz w:val="25"/>
            <w:szCs w:val="25"/>
            <w:u w:val="single"/>
          </w:rPr>
          <w:t>PMC free article</w:t>
        </w:r>
      </w:hyperlink>
      <w:r w:rsidRPr="00A0258B">
        <w:rPr>
          <w:rFonts w:ascii="Times New Roman" w:eastAsia="Times New Roman" w:hAnsi="Times New Roman" w:cs="Times New Roman"/>
          <w:color w:val="000000"/>
          <w:sz w:val="25"/>
          <w:szCs w:val="25"/>
        </w:rPr>
        <w:t>] [</w:t>
      </w:r>
      <w:hyperlink r:id="rId182"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8. Perry G, Raina AK, Nunomura A, Wataya T, Sayre LM, Smith MA. How important is oxidative damage? Lessons from Alzheimer’s disease. Free Radic Biol Med. 2000;28:831–4. [</w:t>
      </w:r>
      <w:hyperlink r:id="rId183"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9. Ding Z, Liu S, Wang X, Khaidakov M, Dai Y, Mehta JL. Oxidant stress in mitochondrial DNA damage, autophagy and inflammation in atherosclerosis. Sci Rep. 2013;3:1077. [</w:t>
      </w:r>
      <w:hyperlink r:id="rId184" w:history="1">
        <w:r w:rsidRPr="00A0258B">
          <w:rPr>
            <w:rFonts w:ascii="Times New Roman" w:eastAsia="Times New Roman" w:hAnsi="Times New Roman" w:cs="Times New Roman"/>
            <w:color w:val="642A8F"/>
            <w:sz w:val="25"/>
            <w:szCs w:val="25"/>
            <w:u w:val="single"/>
          </w:rPr>
          <w:t>PMC free article</w:t>
        </w:r>
      </w:hyperlink>
      <w:r w:rsidRPr="00A0258B">
        <w:rPr>
          <w:rFonts w:ascii="Times New Roman" w:eastAsia="Times New Roman" w:hAnsi="Times New Roman" w:cs="Times New Roman"/>
          <w:color w:val="000000"/>
          <w:sz w:val="25"/>
          <w:szCs w:val="25"/>
        </w:rPr>
        <w:t>] [</w:t>
      </w:r>
      <w:hyperlink r:id="rId185"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10. Andersen JK. Oxidative stress in neurodegeneration: cause or consequence? Nat Med. 2004;10 (Suppl):S18–25. [</w:t>
      </w:r>
      <w:hyperlink r:id="rId186"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11. Trachootham D, Alexandre J, Huang P. Targeting cancer cells by ROS-mediated mechanisms: a radical therapeutic approach? Nat Rev Drug Discov. 2009;8:579–91. [</w:t>
      </w:r>
      <w:hyperlink r:id="rId187"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12. Yudoh K, Shishido K, Murayama H, Yano M, Matsubayashi K, Takada H, et al. Water-soluble C60 fullerene prevents degeneration of articular cartilage in osteoarthritis via down-regulation of chondrocyte catabolic activity and inhibition of cartilage degeneration during disease development. Arthritis Rheum. 2007;56:3307–18. [</w:t>
      </w:r>
      <w:hyperlink r:id="rId188"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13. Yudoh K, Karasawa R, Masuko K, Kato T. Water-soluble fullerene (C60) inhibits the osteoclast differentiation and bone destruction in arthritis. Int J Nanomed. 2009;4:233–9. [</w:t>
      </w:r>
      <w:hyperlink r:id="rId189" w:history="1">
        <w:r w:rsidRPr="00A0258B">
          <w:rPr>
            <w:rFonts w:ascii="Times New Roman" w:eastAsia="Times New Roman" w:hAnsi="Times New Roman" w:cs="Times New Roman"/>
            <w:color w:val="642A8F"/>
            <w:sz w:val="25"/>
            <w:szCs w:val="25"/>
            <w:u w:val="single"/>
          </w:rPr>
          <w:t>PMC free article</w:t>
        </w:r>
      </w:hyperlink>
      <w:r w:rsidRPr="00A0258B">
        <w:rPr>
          <w:rFonts w:ascii="Times New Roman" w:eastAsia="Times New Roman" w:hAnsi="Times New Roman" w:cs="Times New Roman"/>
          <w:color w:val="000000"/>
          <w:sz w:val="25"/>
          <w:szCs w:val="25"/>
        </w:rPr>
        <w:t>][</w:t>
      </w:r>
      <w:hyperlink r:id="rId190"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14. Bakry R, Vallant RM, Najam-ul-Haq M, Rainer M, Szabo Z, Huck CW, et al. Medicinal applications of fullerenes. Int J Nanomed. 2007;2:639–49. [</w:t>
      </w:r>
      <w:hyperlink r:id="rId191" w:history="1">
        <w:r w:rsidRPr="00A0258B">
          <w:rPr>
            <w:rFonts w:ascii="Times New Roman" w:eastAsia="Times New Roman" w:hAnsi="Times New Roman" w:cs="Times New Roman"/>
            <w:color w:val="642A8F"/>
            <w:sz w:val="25"/>
            <w:szCs w:val="25"/>
            <w:u w:val="single"/>
          </w:rPr>
          <w:t>PMC free article</w:t>
        </w:r>
      </w:hyperlink>
      <w:r w:rsidRPr="00A0258B">
        <w:rPr>
          <w:rFonts w:ascii="Times New Roman" w:eastAsia="Times New Roman" w:hAnsi="Times New Roman" w:cs="Times New Roman"/>
          <w:color w:val="000000"/>
          <w:sz w:val="25"/>
          <w:szCs w:val="25"/>
        </w:rPr>
        <w:t>] [</w:t>
      </w:r>
      <w:hyperlink r:id="rId192"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lastRenderedPageBreak/>
        <w:t>15. Nakamura E, Isobe H. Functionalized fullerenes in water. The first 10 years of their chemistry, biology, and nanoscience. Acc Chem Res. 2003;36:807–15. [</w:t>
      </w:r>
      <w:hyperlink r:id="rId193"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16. Xiao L, Aoshima H, Saitoh Y, Miwa N. Highly hydroxylated fullerene localizes at the cytoskeleton and inhibits oxidative stress in adipocytes and a subcutaneous adipose-tissue equivalent. Free Radic Biol Med. 2011;51:1376–89. [</w:t>
      </w:r>
      <w:hyperlink r:id="rId194"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17. Chistyakov VA, Smirnova YO, Prazdnova EV, Soldatov AV. Possible mechanisms of fullerene C 60 antioxidant action. BioMed Res Int. 2013:821498. [</w:t>
      </w:r>
      <w:hyperlink r:id="rId195" w:history="1">
        <w:r w:rsidRPr="00A0258B">
          <w:rPr>
            <w:rFonts w:ascii="Times New Roman" w:eastAsia="Times New Roman" w:hAnsi="Times New Roman" w:cs="Times New Roman"/>
            <w:color w:val="642A8F"/>
            <w:sz w:val="25"/>
            <w:szCs w:val="25"/>
            <w:u w:val="single"/>
          </w:rPr>
          <w:t>PMC free article</w:t>
        </w:r>
      </w:hyperlink>
      <w:r w:rsidRPr="00A0258B">
        <w:rPr>
          <w:rFonts w:ascii="Times New Roman" w:eastAsia="Times New Roman" w:hAnsi="Times New Roman" w:cs="Times New Roman"/>
          <w:color w:val="000000"/>
          <w:sz w:val="25"/>
          <w:szCs w:val="25"/>
        </w:rPr>
        <w:t>] [</w:t>
      </w:r>
      <w:hyperlink r:id="rId196"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18. Andrievsky GV, Bruskov VI, Tykhomyrov AA, Gudkov SV. Peculiarities of the antioxidant and radioprotective effects of hydrated C60 fullerene nanostuctures in vitro and in vivo. Free Radic Biol Med. 2009;47:786–93. [</w:t>
      </w:r>
      <w:hyperlink r:id="rId197"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19. Roursgaard M, Poulsen SS, Kepley CL, Hammer M, Nielsen GD, Larsen ST. Polyhydroxylated C60 fullerene (fullerenol) attenuates neutrophilic lung inflammation in mice. Basic Clin Pharmacol Toxicol. 2008;103:386–8. [</w:t>
      </w:r>
      <w:hyperlink r:id="rId198"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20. Huang ST, Liao JS, Fang HW, Lin CM. Synthesis and anti-inflammation evaluation of new C60 fulleropyrrolidines bearing biologically active xanthine. Bioorg Med Chem Lett. 2008;18:99–103.[</w:t>
      </w:r>
      <w:hyperlink r:id="rId199"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21. Huang ST, Ho CS, Lin CM, Fang HW, Peng YX. Development and biological evaluation of C(60) fulleropyrrolidine-thalidomide dyad as a new anti-inflammation agent. Bioorg Med Chem. 2008;16:8619–26. [</w:t>
      </w:r>
      <w:hyperlink r:id="rId200"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22. Makarova EG, Gordon RY, Podolski IY. Fullerene C60 prevents neurotoxicity induced by intrahippocampal microinjection of amyloid-beta peptide. J Nanosci Nanotechnol. 2012;12:119–26.[</w:t>
      </w:r>
      <w:hyperlink r:id="rId201"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23. Dugan LL, Gabrielsen JK, Yu SP, Lin TS, Choi DW. Buckminsterfullerenol free radical scavengers reduce excitotoxic and apoptotic death of cultured cortical neurons. Neurobiol Disease. 1996;3:129–35.[</w:t>
      </w:r>
      <w:hyperlink r:id="rId202"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24. Dugan LL, Turetsky DM, Du C, Lobner D, Wheeler M, Almli CR, et al. Carboxyfullerenes as neuroprotective agents. Proc Natl Acad Sci USA. 1997;94:9434–9. [</w:t>
      </w:r>
      <w:hyperlink r:id="rId203" w:history="1">
        <w:r w:rsidRPr="00A0258B">
          <w:rPr>
            <w:rFonts w:ascii="Times New Roman" w:eastAsia="Times New Roman" w:hAnsi="Times New Roman" w:cs="Times New Roman"/>
            <w:color w:val="642A8F"/>
            <w:sz w:val="25"/>
            <w:szCs w:val="25"/>
            <w:u w:val="single"/>
          </w:rPr>
          <w:t>PMC free article</w:t>
        </w:r>
      </w:hyperlink>
      <w:r w:rsidRPr="00A0258B">
        <w:rPr>
          <w:rFonts w:ascii="Times New Roman" w:eastAsia="Times New Roman" w:hAnsi="Times New Roman" w:cs="Times New Roman"/>
          <w:color w:val="000000"/>
          <w:sz w:val="25"/>
          <w:szCs w:val="25"/>
        </w:rPr>
        <w:t>] [</w:t>
      </w:r>
      <w:hyperlink r:id="rId204"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25. Lin AM, Fang SF, Lin SZ, Chou CK, Luh TY, Ho LT. Local carboxyfullerene protects cortical infarction in rat brain. Neurosci Res. 2002;43:317–21. [</w:t>
      </w:r>
      <w:hyperlink r:id="rId205"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26. Lin AM, Chyi BY, Wang SD, Yu HH, Kanakamma PP, Luh TY, et al. Carboxyfullerene prevents iron-induced oxidative stress in rat brain. J Neurochem. 1999;72:1634–40. [</w:t>
      </w:r>
      <w:hyperlink r:id="rId206"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27. Gharbi N, Pressac M, Hadchouel M, Szwarc H, Wilson SR, Moussa F. [60]fullerene is a powerful antioxidant in vivo with no acute or subacute toxicity. Nano Lett. 2005;5:2578–85. [</w:t>
      </w:r>
      <w:hyperlink r:id="rId207"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lastRenderedPageBreak/>
        <w:t>28. Srdjenovic B, Milic-Torres V, Grujic N, Stankov K, Djordjevic A, Vasovic V. Antioxidant properties of fullerenol C60(OH)24 in rat kidneys, testes, and lungs treated with doxorubicin. Toxicol Mech Meth. 2010;20:298–305. [</w:t>
      </w:r>
      <w:hyperlink r:id="rId208"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29. Chueh SC, Lai MK, Lee MS, Chiang LY, Ho TI, Chen SC. Decrease of free radical level in organ perfusate by a novel watersoluble carbon-sixty, hexa(sulfobutyl)fullerenes. Transplant Proc. 1999;31:1976–7. [</w:t>
      </w:r>
      <w:hyperlink r:id="rId209"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30. Hu Z, Zhang C, Tang P, Li C, Yao Y, Sun S, et al. Protection of cells from nitric oxide-mediated apoptotic death by glutathione C(6)(0) derivative. Cell Biol Int. 2012;36:677–81. [</w:t>
      </w:r>
      <w:hyperlink r:id="rId210"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31. Huang YL, Shen CK, Luh TY, Yang HC, Hwang KC, Chou CK. Blockage of apoptotic signaling of transforming growth factor-beta in human hepatoma cells by carboxyfullerene. Euro J Biochem/ FEBS. 1998;254:38–43. [</w:t>
      </w:r>
      <w:hyperlink r:id="rId211"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32. Chien CT, Lee PH, Chen CF, Ma MC, Lai MK, Hsu SM. De novo demonstration and co-localization of free-radical production and apoptosis formation in rat kidney subjected to ischemia/reperfusion. J Am Soc Nephrol: JASN. 2001;12:973–82. [</w:t>
      </w:r>
      <w:hyperlink r:id="rId212"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33. Straface E, Natalini B, Monti D, Franceschi C, Schettini G, Bisaglia M, et al. C3-fullero-tris-methanodicarboxylic acid protects epithelial cells from radiation-induced anoikia by influencing cell adhesion ability. FEBS Lett. 1999;454:335–40. [</w:t>
      </w:r>
      <w:hyperlink r:id="rId213"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34. Bisaglia M, Natalini B, Pellicciari R, Straface E, Malorni W, Monti D, et al. C3-fullero-tris-methanodicarboxylic acid protects cerebellar granule cells from apoptosis. J Neurochem. 2000;74:1197–204. [</w:t>
      </w:r>
      <w:hyperlink r:id="rId214"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35. Zhao Q, Li Y, Xu J, Liu R, Li W. Radioprotection by fullerenols of </w:t>
      </w:r>
      <w:r w:rsidRPr="00A0258B">
        <w:rPr>
          <w:rFonts w:ascii="Times New Roman" w:eastAsia="Times New Roman" w:hAnsi="Times New Roman" w:cs="Times New Roman"/>
          <w:i/>
          <w:iCs/>
          <w:color w:val="000000"/>
          <w:sz w:val="25"/>
          <w:szCs w:val="25"/>
        </w:rPr>
        <w:t>Stylonychia mytilus</w:t>
      </w:r>
      <w:r w:rsidRPr="00A0258B">
        <w:rPr>
          <w:rFonts w:ascii="Times New Roman" w:eastAsia="Times New Roman" w:hAnsi="Times New Roman" w:cs="Times New Roman"/>
          <w:color w:val="000000"/>
          <w:sz w:val="25"/>
          <w:szCs w:val="25"/>
        </w:rPr>
        <w:t> exposed to gamma-rays. Int J Radiat Biol. 2005;81:169–75. [</w:t>
      </w:r>
      <w:hyperlink r:id="rId215"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36. Theriot CA, Casey RC, Moore VC, Mitchell L, Reynolds JO, Burgoyne M, et al. Dendro[C(60)]fullerene DF-1 provides radioprotection to radiosensitive mammalian cells. Radiat Environ Biophys. 2010;49:437–45. [</w:t>
      </w:r>
      <w:hyperlink r:id="rId216"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37. Trajkovic S, Dobric S, Djordjevic A, Dragojevic-Simic V, Milovanovic Z. Radioprotective efficiency of fullerenol in irradiated mice. Mater Sci Forum. 2005;494:549–54.</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38. Trajkovic S, Dobric S, Jacevic V, Dragojevic-Simic V, Milovanovic Z, Dordevic A. Tissue-protective effects of fullerenol C60(OH)24 and amifostine in irradiated rats. Colloids Surf B, Biointerfaces. 2007;58:39–43. [</w:t>
      </w:r>
      <w:hyperlink r:id="rId217"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39. Meng X, Li B, Chen Z, Yao L, Zhao D, Yang X, et al. Inhibition of a thermophilic deoxyribonucleic acid polymerase by fullerene derivatives. J Enzyme Inhib Med Chem. 2007;22:293–6. [</w:t>
      </w:r>
      <w:hyperlink r:id="rId218"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40. Wolff DJ, Papoiu AD, Mialkowski K, Richardson CF, Schuster DI, Wilson SR. Inhibition of nitric oxide synthase isoforms by trismalonyl-C(60)-fullerene adducts. Arch Biochem Biophys. 2000;378:216–23. [</w:t>
      </w:r>
      <w:hyperlink r:id="rId219"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lastRenderedPageBreak/>
        <w:t>41. Ueng TH, Kang JJ, Wang HW, Cheng YW, Chiang LY. Suppression of microsomal cytochrome P450-dependent monooxygenases and mitochondrial oxidative phosphorylation by fullerenol, a polyhydroxylated fullerene. CToxicol Lett. 1997;93:29–37. [</w:t>
      </w:r>
      <w:hyperlink r:id="rId220"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42. Liao F, Saitoh Y, Miwa N. Anticancer effects of fullerene [C60] included in polyethylene glycol combined with visible light irradiation through ROS generation and DNA fragmentation on fibrosarcoma cells with scarce cytotoxicity to normal fibroblasts. Oncol Res. 2011;19:203–16. [</w:t>
      </w:r>
      <w:hyperlink r:id="rId221"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43. Mroz P, Pawlak A, Satti M, Lee H, Wharton T, Gali H, et al. Functionalized fullerenes mediate photodynamic killing of cancer cells: type I versus Type II photochemical mechanism. Free Radic Biol Med. 2007;43:711–9. [</w:t>
      </w:r>
      <w:hyperlink r:id="rId222" w:history="1">
        <w:r w:rsidRPr="00A0258B">
          <w:rPr>
            <w:rFonts w:ascii="Times New Roman" w:eastAsia="Times New Roman" w:hAnsi="Times New Roman" w:cs="Times New Roman"/>
            <w:color w:val="642A8F"/>
            <w:sz w:val="25"/>
            <w:szCs w:val="25"/>
            <w:u w:val="single"/>
          </w:rPr>
          <w:t>PMC free article</w:t>
        </w:r>
      </w:hyperlink>
      <w:r w:rsidRPr="00A0258B">
        <w:rPr>
          <w:rFonts w:ascii="Times New Roman" w:eastAsia="Times New Roman" w:hAnsi="Times New Roman" w:cs="Times New Roman"/>
          <w:color w:val="000000"/>
          <w:sz w:val="25"/>
          <w:szCs w:val="25"/>
        </w:rPr>
        <w:t>] [</w:t>
      </w:r>
      <w:hyperlink r:id="rId223"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44. Hu Z, Zhang C, Huang Y, Sun S, Guan W, Yao Y. Photodynamic anticancer activities of water-soluble C(60) derivatives and their biological consequences in a HeLa cell line. Chem-Biol Interact. 2012;195:86–94. [</w:t>
      </w:r>
      <w:hyperlink r:id="rId224"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45. Brunet L, Lyon DY, Hotze EM, Alvarez PJ, Wiesner MR. Comparative photoactivity and antibacterial properties of C60 fullerenes and titanium dioxide nanoparticles. Environ Sci Technol. 2009;43:4355–60.[</w:t>
      </w:r>
      <w:hyperlink r:id="rId225"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46. Lee I, Mackeyev Y, Cho M, Li D, Kim JH, Wilson LJ, et al. Photochemical and antimicrobial properties of novel C60 derivatives in aqueous systems. Environ Sci Technol. 2009;43:6604–10. [</w:t>
      </w:r>
      <w:hyperlink r:id="rId226"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47. Kasermann F, Kempf C. Buckminsterfullerene and photodynamic inactivation of viruses. Rev Med Virol. 1998;8:143–51. [</w:t>
      </w:r>
      <w:hyperlink r:id="rId227"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48. Rud Y, Buchatskyy L, Prylutskyy Y, Marchenko O, Senenko A, Schutze C, et al. Using C60 fullerenes for photodynamic inactivation of mosquito iridescent viruses. J Enzyme Inhib Med Chem. 2012;27:614–17. [</w:t>
      </w:r>
      <w:hyperlink r:id="rId228"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49. Zakharian TY, Seryshev A, Sitharaman B, Gilbert BE, Knight V, Wilson LJ. A fullerene-paclitaxel chemotherapeutic: synthesis, characterization, and study of biological activity in tissue culture. J Am Chem Soc. 2005;127:12508–9. [</w:t>
      </w:r>
      <w:hyperlink r:id="rId229"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50. Shi J, Zhang H, Wang L, Li L, Wang H, Wang Z, et al. PEI-derivatized fullerene drug delivery using folate as a homing device targeting to tumor. Biomaterials. 2013;34:251–61. [</w:t>
      </w:r>
      <w:hyperlink r:id="rId230"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51. Sitharaman B, Zakharian TY, Saraf A, Misra P, Ashcroft J, Pan S, et al. Water-soluble fullerene (C60) derivatives as nonviral gene-delivery vectors. Mol Pharm. 2008;5:567–78. [</w:t>
      </w:r>
      <w:hyperlink r:id="rId231" w:history="1">
        <w:r w:rsidRPr="00A0258B">
          <w:rPr>
            <w:rFonts w:ascii="Times New Roman" w:eastAsia="Times New Roman" w:hAnsi="Times New Roman" w:cs="Times New Roman"/>
            <w:color w:val="642A8F"/>
            <w:sz w:val="25"/>
            <w:szCs w:val="25"/>
            <w:u w:val="single"/>
          </w:rPr>
          <w:t>PMC free article</w:t>
        </w:r>
      </w:hyperlink>
      <w:r w:rsidRPr="00A0258B">
        <w:rPr>
          <w:rFonts w:ascii="Times New Roman" w:eastAsia="Times New Roman" w:hAnsi="Times New Roman" w:cs="Times New Roman"/>
          <w:color w:val="000000"/>
          <w:sz w:val="25"/>
          <w:szCs w:val="25"/>
        </w:rPr>
        <w:t>] [</w:t>
      </w:r>
      <w:hyperlink r:id="rId232"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52. Isobe H, Nakanishi W, Tomita N, Jinno S, Okayama H, Nakamura E. Nonviral gene delivery by tetraamino fullerene. Mol Pharm. 2006;3:124–34. [</w:t>
      </w:r>
      <w:hyperlink r:id="rId233"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53. Anderson SA, Lee KK, Frank JA. Gadolinium-fullerenol as a paramagnetic contrast agent for cellular imaging. Invest Radiol. 2006;41:332–8. [</w:t>
      </w:r>
      <w:hyperlink r:id="rId234"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lastRenderedPageBreak/>
        <w:t>54. Sitharaman B, Tran LA, Pham QP, Bolskar RD, Muthupillai R, Flamm SD, et al. Gadofullerenes as nanoscale magnetic labels for cellular MRI. Contrast Media Mol Imaging. 2007;2:139–46. [</w:t>
      </w:r>
      <w:hyperlink r:id="rId235"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55. Cagle DW, Kennel SJ, Mirzadeh S, Alford JM, Wilson LJ. In vivo studies of fullerene-based materials using endohedral metallofullerene radiotracers. Proc Natl Acad Sci USA. 1999;96:5182–7.[</w:t>
      </w:r>
      <w:hyperlink r:id="rId236" w:history="1">
        <w:r w:rsidRPr="00A0258B">
          <w:rPr>
            <w:rFonts w:ascii="Times New Roman" w:eastAsia="Times New Roman" w:hAnsi="Times New Roman" w:cs="Times New Roman"/>
            <w:color w:val="642A8F"/>
            <w:sz w:val="25"/>
            <w:szCs w:val="25"/>
            <w:u w:val="single"/>
          </w:rPr>
          <w:t>PMC free article</w:t>
        </w:r>
      </w:hyperlink>
      <w:r w:rsidRPr="00A0258B">
        <w:rPr>
          <w:rFonts w:ascii="Times New Roman" w:eastAsia="Times New Roman" w:hAnsi="Times New Roman" w:cs="Times New Roman"/>
          <w:color w:val="000000"/>
          <w:sz w:val="25"/>
          <w:szCs w:val="25"/>
        </w:rPr>
        <w:t>] [</w:t>
      </w:r>
      <w:hyperlink r:id="rId237"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56. Qingnuan L, yan X, Xiaodong Z, Ruili L, qieqie D, Xiaoguang S, et al. Preparation of (99m)Tc-C(60)(OH)(x) and its biodistribution studies. Nucl Med Biol. 2002;29:707–10. [</w:t>
      </w:r>
      <w:hyperlink r:id="rId238"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57. Tsuchiya T, Yamakoshi YN, Miyata N. A novel promoting action of fullerene C60 on the chondrogenesis in rat embryonic limb bud cell culture system. Biochem Biophys Res Commun. 1995;206:885–94. [</w:t>
      </w:r>
      <w:hyperlink r:id="rId239"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58. Horwitz AL, Dorfman A. Subcellular sites for synthesis of chondromucoprotein of cartilage. J Cell Biol. 1968;38:358–68. [</w:t>
      </w:r>
      <w:hyperlink r:id="rId240" w:history="1">
        <w:r w:rsidRPr="00A0258B">
          <w:rPr>
            <w:rFonts w:ascii="Times New Roman" w:eastAsia="Times New Roman" w:hAnsi="Times New Roman" w:cs="Times New Roman"/>
            <w:color w:val="642A8F"/>
            <w:sz w:val="25"/>
            <w:szCs w:val="25"/>
            <w:u w:val="single"/>
          </w:rPr>
          <w:t>PMC free article</w:t>
        </w:r>
      </w:hyperlink>
      <w:r w:rsidRPr="00A0258B">
        <w:rPr>
          <w:rFonts w:ascii="Times New Roman" w:eastAsia="Times New Roman" w:hAnsi="Times New Roman" w:cs="Times New Roman"/>
          <w:color w:val="000000"/>
          <w:sz w:val="25"/>
          <w:szCs w:val="25"/>
        </w:rPr>
        <w:t>] [</w:t>
      </w:r>
      <w:hyperlink r:id="rId241"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59. Hungerbuhler H, Guldi DM, Asmus KD. Incorporation of C-60 into Artificial Lipid-Membranes. J Am Chem Soc. 1993;115:3386–7.</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60. Nevo Z, Dorfman A. Stimulation of chondromucoprotein synthesis in chondrocytes by extracellular chondromucoprotein. Proc Natl Acad Sci USA. 1972;69:2069–72. [</w:t>
      </w:r>
      <w:hyperlink r:id="rId242" w:history="1">
        <w:r w:rsidRPr="00A0258B">
          <w:rPr>
            <w:rFonts w:ascii="Times New Roman" w:eastAsia="Times New Roman" w:hAnsi="Times New Roman" w:cs="Times New Roman"/>
            <w:color w:val="642A8F"/>
            <w:sz w:val="25"/>
            <w:szCs w:val="25"/>
            <w:u w:val="single"/>
          </w:rPr>
          <w:t>PMC free article</w:t>
        </w:r>
      </w:hyperlink>
      <w:r w:rsidRPr="00A0258B">
        <w:rPr>
          <w:rFonts w:ascii="Times New Roman" w:eastAsia="Times New Roman" w:hAnsi="Times New Roman" w:cs="Times New Roman"/>
          <w:color w:val="000000"/>
          <w:sz w:val="25"/>
          <w:szCs w:val="25"/>
        </w:rPr>
        <w:t>] [</w:t>
      </w:r>
      <w:hyperlink r:id="rId243"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61. Thannickal VJ, Fanburg BL. Reactive oxygen species in cell signaling. Am J Physiol Lung Cell Mol Physiol. 2000;279:L1005–28. [</w:t>
      </w:r>
      <w:hyperlink r:id="rId244"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62. Bonizzi G, Piette J, Merville MP, Bours V. Cell type-specific role for reactive oxygen species in nuclear factor-kappaB activation by interleukin-1. Biochem Pharmacol. 2000;59:7–11. [</w:t>
      </w:r>
      <w:hyperlink r:id="rId245"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63. Williams MS, Kwon J. T cell receptor stimulation, reactive oxygen species, and cell signaling. Free Radic Biol Med. 2004;37:1144–51. [</w:t>
      </w:r>
      <w:hyperlink r:id="rId246"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64. Droge W. Free radicals in the physiological control of cell function. Physiol Rev. 2002;82:47–95.[</w:t>
      </w:r>
      <w:hyperlink r:id="rId247"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65. Miura K, Kamiya S, Sasaki N. C60 molecular bearings. Phys Rev Lett. 2003;90:055509. [</w:t>
      </w:r>
      <w:hyperlink r:id="rId248"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66. Mikami T, Ichiseki T, Kaneuji A, Ueda Y, Sugimori T, Fukui K, et al. Prevention of steroid-induced osteonecrosis by intravenous administration of vitamin E in a rabbit model. J Orthop Sci. 2010;15:674–7.[</w:t>
      </w:r>
      <w:hyperlink r:id="rId249"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67. Liu H, Yang X, Zhang Y, Dighe A, Li X, Cui Q. Fullerol antagonizes dexamethasone-induced oxidative stress and adipogenesis while enhancing osteogenesis in a cloned bone marrow mesenchymal stem cell. J Orthop Res. 2012;30:1051–7. [</w:t>
      </w:r>
      <w:hyperlink r:id="rId250"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lastRenderedPageBreak/>
        <w:t>68. Cho SW, Sun HJ, Yang JY, Jung JY, An JH, Cho HY, et al. Transplantation of mesenchymal stem cells overexpressing RANK-Fc or CXCR4 prevents bone loss in ovariectomized mice. Mol Ther. 2009;17:1979–87. [</w:t>
      </w:r>
      <w:hyperlink r:id="rId251" w:history="1">
        <w:r w:rsidRPr="00A0258B">
          <w:rPr>
            <w:rFonts w:ascii="Times New Roman" w:eastAsia="Times New Roman" w:hAnsi="Times New Roman" w:cs="Times New Roman"/>
            <w:color w:val="642A8F"/>
            <w:sz w:val="25"/>
            <w:szCs w:val="25"/>
            <w:u w:val="single"/>
          </w:rPr>
          <w:t>PMC free article</w:t>
        </w:r>
      </w:hyperlink>
      <w:r w:rsidRPr="00A0258B">
        <w:rPr>
          <w:rFonts w:ascii="Times New Roman" w:eastAsia="Times New Roman" w:hAnsi="Times New Roman" w:cs="Times New Roman"/>
          <w:color w:val="000000"/>
          <w:sz w:val="25"/>
          <w:szCs w:val="25"/>
        </w:rPr>
        <w:t>] [</w:t>
      </w:r>
      <w:hyperlink r:id="rId252"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69. Wilson ALMaLJ. Functionalization of C60 with diphosphonate groups: a route to bone-vectored fullerenes. J Chem Soc, Perkin Trans 2. 2002;6:1173–6.</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70. Gonzalez KA, Wilson LJ, Wu W, Nancollas GH. Synthesis and in vitro characterization of a tissue-selective fullerene: vectoring C(60)(OH)(16)AMBP to mineralized bone. Bioorg Med Chem. 2002;10:1991–7. [</w:t>
      </w:r>
      <w:hyperlink r:id="rId253"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71. Freemont AJ. The cellular pathobiology of the degenerate intervertebral disc and discogenic back pain. Rheumatol (Oxford) 2009;48:5–10. [</w:t>
      </w:r>
      <w:hyperlink r:id="rId254"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72. Risbud MV, Albert TJ, Guttapalli A, Vresilovic EJ, Hillibrand AS, Vaccaro AR, et al. Differentiation of mesenchymal stem cells towards a nucleus pulposus-like phenotype in vitro: implications for cell-based transplantation therapy. Spine (Phila Pa 1976) 2004;29:2627–32. [</w:t>
      </w:r>
      <w:hyperlink r:id="rId255"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73. Andersson GB. Epidemiological features of chronic low-back pain. Lancet. 1999;354:581–5. [</w:t>
      </w:r>
      <w:hyperlink r:id="rId256"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74. Deyo RA, Weinstein JN. Low back pain. New Eng J Med. 2001;344:363–70. [</w:t>
      </w:r>
      <w:hyperlink r:id="rId257"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75. Nasto LA, Robinson AR, Ngo K, Clauson CL, Dong Q, St Croix C, et al. Mitochondrial-derived reactive oxygen species (ROS) Play a causal role in aging-related intervertebral disc degeneration. J Orthop Res. 2013 [</w:t>
      </w:r>
      <w:hyperlink r:id="rId258" w:history="1">
        <w:r w:rsidRPr="00A0258B">
          <w:rPr>
            <w:rFonts w:ascii="Times New Roman" w:eastAsia="Times New Roman" w:hAnsi="Times New Roman" w:cs="Times New Roman"/>
            <w:color w:val="642A8F"/>
            <w:sz w:val="25"/>
            <w:szCs w:val="25"/>
            <w:u w:val="single"/>
          </w:rPr>
          <w:t>PMC free article</w:t>
        </w:r>
      </w:hyperlink>
      <w:r w:rsidRPr="00A0258B">
        <w:rPr>
          <w:rFonts w:ascii="Times New Roman" w:eastAsia="Times New Roman" w:hAnsi="Times New Roman" w:cs="Times New Roman"/>
          <w:color w:val="000000"/>
          <w:sz w:val="25"/>
          <w:szCs w:val="25"/>
        </w:rPr>
        <w:t>] [</w:t>
      </w:r>
      <w:hyperlink r:id="rId259"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76. Ahn SH, Cho YW, Ahn MW, Jang SH, Sohn YK, Kim HS. mRNA expression of cytokines and chemokines in herniated lumbar intervertebral discs. Spine (Phila Pa 1976) 2002;27:911–17. [</w:t>
      </w:r>
      <w:hyperlink r:id="rId260"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77. Le Maitre CL, Hoyland JA, Freemont AJ. Catabolic cytokine expression in degenerate and herniated human intervertebral discs: IL-1beta and TNFalpha expression profile. Arthritis Res Ther. 2007;9:R77.[</w:t>
      </w:r>
      <w:hyperlink r:id="rId261" w:history="1">
        <w:r w:rsidRPr="00A0258B">
          <w:rPr>
            <w:rFonts w:ascii="Times New Roman" w:eastAsia="Times New Roman" w:hAnsi="Times New Roman" w:cs="Times New Roman"/>
            <w:color w:val="642A8F"/>
            <w:sz w:val="25"/>
            <w:szCs w:val="25"/>
            <w:u w:val="single"/>
          </w:rPr>
          <w:t>PMC free article</w:t>
        </w:r>
      </w:hyperlink>
      <w:r w:rsidRPr="00A0258B">
        <w:rPr>
          <w:rFonts w:ascii="Times New Roman" w:eastAsia="Times New Roman" w:hAnsi="Times New Roman" w:cs="Times New Roman"/>
          <w:color w:val="000000"/>
          <w:sz w:val="25"/>
          <w:szCs w:val="25"/>
        </w:rPr>
        <w:t>] [</w:t>
      </w:r>
      <w:hyperlink r:id="rId262"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78. Bachmeier BE, Nerlich AG, Weiler C, Paesold G, Jochum M, Boos N. Analysis of tissue distribution of TNF-alpha, TNF-alpha-receptors, and the activating TNF-alpha-converting enzyme suggests activation of the TNF-alpha system in the aging intervertebral disc. Ann New York Acad Sci. 2007;1096:44–54.[</w:t>
      </w:r>
      <w:hyperlink r:id="rId263"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79. Moore RJ. The vertebral endplate: disc degeneration, disc regeneration. Euro Spine J. 2006;15 (Suppl 3):S333–7. [</w:t>
      </w:r>
      <w:hyperlink r:id="rId264" w:history="1">
        <w:r w:rsidRPr="00A0258B">
          <w:rPr>
            <w:rFonts w:ascii="Times New Roman" w:eastAsia="Times New Roman" w:hAnsi="Times New Roman" w:cs="Times New Roman"/>
            <w:color w:val="642A8F"/>
            <w:sz w:val="25"/>
            <w:szCs w:val="25"/>
            <w:u w:val="single"/>
          </w:rPr>
          <w:t>PMC free article</w:t>
        </w:r>
      </w:hyperlink>
      <w:r w:rsidRPr="00A0258B">
        <w:rPr>
          <w:rFonts w:ascii="Times New Roman" w:eastAsia="Times New Roman" w:hAnsi="Times New Roman" w:cs="Times New Roman"/>
          <w:color w:val="000000"/>
          <w:sz w:val="25"/>
          <w:szCs w:val="25"/>
        </w:rPr>
        <w:t>] [</w:t>
      </w:r>
      <w:hyperlink r:id="rId265"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80. Modic MT, Masaryk TJ, Ross JS, Carter JR. Imaging of degenerative disk disease. Radiology. 1988;168:177–86. [</w:t>
      </w:r>
      <w:hyperlink r:id="rId266"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81. Wang Y, Battie MC, Boyd SK, Videman T. The osseous endplates in lumbar vertebrae: thickness, bone mineral density and their associations with age and disk degeneration. Bone. 2011;48:804–9. [</w:t>
      </w:r>
      <w:hyperlink r:id="rId267"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lastRenderedPageBreak/>
        <w:t>82. de Roos A, Kressel H, Spritzer C, Dalinka M. MR imaging of marrow changes adjacent to end plates in degenerative lumbar disk disease. AJR Am J Roentgenol. 1987;149:531–4. [</w:t>
      </w:r>
      <w:hyperlink r:id="rId268"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83. Wang GJ, Sweet DE, Reger SI, Thompson RC. Fat-cell changes as a mechanism of avascular necrosis of the femoral head in cortisone-treated rabbits. J Bone Joint Surg Am. 1977;59:729–35. [</w:t>
      </w:r>
      <w:hyperlink r:id="rId269"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84. Drescher W, Li H, Qvesel D, Jensen SD, Flo C, Hansen ES, et al. Vertebral blood flow and bone mineral density during long-term corticosteroid treatment: an experimental study in immature pigs. Spine (Phila Pa 1976) 2000;25:3021–5. [</w:t>
      </w:r>
      <w:hyperlink r:id="rId270"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85. Liu Q, Jin L, Shen FH, Balian G, Li XJ. Fullerol nanoparticles suppress inflammatory response and adipogenesis of vertebral bone marrow stromal cells-a potential novel treatment for intervertebral disc degeneration. Spine J. 2013 [</w:t>
      </w:r>
      <w:hyperlink r:id="rId271" w:history="1">
        <w:r w:rsidRPr="00A0258B">
          <w:rPr>
            <w:rFonts w:ascii="Times New Roman" w:eastAsia="Times New Roman" w:hAnsi="Times New Roman" w:cs="Times New Roman"/>
            <w:color w:val="642A8F"/>
            <w:sz w:val="25"/>
            <w:szCs w:val="25"/>
            <w:u w:val="single"/>
          </w:rPr>
          <w:t>PMC free article</w:t>
        </w:r>
      </w:hyperlink>
      <w:r w:rsidRPr="00A0258B">
        <w:rPr>
          <w:rFonts w:ascii="Times New Roman" w:eastAsia="Times New Roman" w:hAnsi="Times New Roman" w:cs="Times New Roman"/>
          <w:color w:val="000000"/>
          <w:sz w:val="25"/>
          <w:szCs w:val="25"/>
        </w:rPr>
        <w:t>] [</w:t>
      </w:r>
      <w:hyperlink r:id="rId272"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86. Yamago S, Tokuyama H, Nakamura E, Kikuchi K, Kananishi S, Sueki K, et al. In vivo biological behavior of a water-miscible fullerene: 14C labeling, absorption, distribution, excretion and acute toxicity. Chem Biol. 1995;2:385–9. [</w:t>
      </w:r>
      <w:hyperlink r:id="rId273"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87. Lee M, Kim BJ, Lim EJ, Back SK, Lee JH, Yu SW, Hong SH, Kim JH, Lee SH, Jung WW, Sul D, Na HS. Complete Freund’s adjuvant-induced intervertebral discitis as an animal model for discogenic low back pain. Anesth Analg. 2009;109:1287–96. [</w:t>
      </w:r>
      <w:hyperlink r:id="rId274"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88. Moon HJ, Kim JH, Lee HS, Chotai S, Kang JD, Suh JK, et al. Annulus fibrosus cells interact with neuron-like cells to modulate production of growth factors and cytokines in symptomatic disc degeneration. Spine (Phila Pa 1976) 2012;37:2–9. [</w:t>
      </w:r>
      <w:hyperlink r:id="rId275"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89. Hadjipavlou AG, Simmons JW, Yang JP, Bi LX, Simmons DJ, Necessary JT. Torsional injury resulting in disc degeneration in the rabbit: II. Associative changes in dorsal root ganglion and spinal cord neurotransmitter production. J Spinal Disord. 1998;11:318–21. [</w:t>
      </w:r>
      <w:hyperlink r:id="rId276"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90. Liu Q, Jin L, Mahon BH, Chordia MD, Shen FH, Li X. A novel treatment of neuroinflammation against low back pain by soluble fullerol nanoparticles. Spine (Phila Pa 1976) 2013 [</w:t>
      </w:r>
      <w:hyperlink r:id="rId277" w:history="1">
        <w:r w:rsidRPr="00A0258B">
          <w:rPr>
            <w:rFonts w:ascii="Times New Roman" w:eastAsia="Times New Roman" w:hAnsi="Times New Roman" w:cs="Times New Roman"/>
            <w:color w:val="642A8F"/>
            <w:sz w:val="25"/>
            <w:szCs w:val="25"/>
            <w:u w:val="single"/>
          </w:rPr>
          <w:t>PMC free article</w:t>
        </w:r>
      </w:hyperlink>
      <w:r w:rsidRPr="00A0258B">
        <w:rPr>
          <w:rFonts w:ascii="Times New Roman" w:eastAsia="Times New Roman" w:hAnsi="Times New Roman" w:cs="Times New Roman"/>
          <w:color w:val="000000"/>
          <w:sz w:val="25"/>
          <w:szCs w:val="25"/>
        </w:rPr>
        <w:t>][</w:t>
      </w:r>
      <w:hyperlink r:id="rId278"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91. Huang ST, Ho CS, Lin CM, Fang HW, Peng YX. Development and biological evaluation of C(60) fulleropyrrolidine-thalidomide dyad as a new anti-inflammation agent. Bioorg Med Chem. 2008;16:8619–26. [</w:t>
      </w:r>
      <w:hyperlink r:id="rId279"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92. Roberts JE, Wielgus AR, Boyes WK, Andley U, Chignell CF. Phototoxicity and cytotoxicity of fullerol in human lens epithelial cells. Toxicol Appl Pharmacol. 2008;228:49–58. [</w:t>
      </w:r>
      <w:hyperlink r:id="rId280" w:history="1">
        <w:r w:rsidRPr="00A0258B">
          <w:rPr>
            <w:rFonts w:ascii="Times New Roman" w:eastAsia="Times New Roman" w:hAnsi="Times New Roman" w:cs="Times New Roman"/>
            <w:color w:val="642A8F"/>
            <w:sz w:val="25"/>
            <w:szCs w:val="25"/>
            <w:u w:val="single"/>
          </w:rPr>
          <w:t>PMC free article</w:t>
        </w:r>
      </w:hyperlink>
      <w:r w:rsidRPr="00A0258B">
        <w:rPr>
          <w:rFonts w:ascii="Times New Roman" w:eastAsia="Times New Roman" w:hAnsi="Times New Roman" w:cs="Times New Roman"/>
          <w:color w:val="000000"/>
          <w:sz w:val="25"/>
          <w:szCs w:val="25"/>
        </w:rPr>
        <w:t>] [</w:t>
      </w:r>
      <w:hyperlink r:id="rId281"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93. Henry TB, Petersen EJ, Compton RN. Aqueous fullerene aggregates (nC60) generate minimal reactive oxygen species and are of low toxicity in fish: a revision of previous reports. Curr Opin Biotechnol. 2011;22:533–7. [</w:t>
      </w:r>
      <w:hyperlink r:id="rId282"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lastRenderedPageBreak/>
        <w:t>94. Oberdorster E. Manufactured nanomaterials (fullerenes, C60) induce oxidative stress in the brain of juvenile largemouth bass. Environ Health Perspect. 2004;112:1058–62. [</w:t>
      </w:r>
      <w:hyperlink r:id="rId283" w:history="1">
        <w:r w:rsidRPr="00A0258B">
          <w:rPr>
            <w:rFonts w:ascii="Times New Roman" w:eastAsia="Times New Roman" w:hAnsi="Times New Roman" w:cs="Times New Roman"/>
            <w:color w:val="642A8F"/>
            <w:sz w:val="25"/>
            <w:szCs w:val="25"/>
            <w:u w:val="single"/>
          </w:rPr>
          <w:t>PMC free article</w:t>
        </w:r>
      </w:hyperlink>
      <w:r w:rsidRPr="00A0258B">
        <w:rPr>
          <w:rFonts w:ascii="Times New Roman" w:eastAsia="Times New Roman" w:hAnsi="Times New Roman" w:cs="Times New Roman"/>
          <w:color w:val="000000"/>
          <w:sz w:val="25"/>
          <w:szCs w:val="25"/>
        </w:rPr>
        <w:t>] [</w:t>
      </w:r>
      <w:hyperlink r:id="rId284"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95. Sayes CM, Gobin AM, Ausman KD, Mendez J, West JL, Colvin VL. Nano-C60 cytotoxicity is due to lipid peroxidation. Biomaterials. 2005;26:7587–95. [</w:t>
      </w:r>
      <w:hyperlink r:id="rId285"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96. Zhang B, Cho M, Fortner JD, Lee J, Huang CH, Hughes JB, et al. Delineating oxidative processes of aqueous C60 preparations: role of THF peroxide. Environ Sci Technol. 2009;43:108–13. [</w:t>
      </w:r>
      <w:hyperlink r:id="rId286"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97. Sayes CM, Fortner JD, Guo W, Lyon D, Boyd AM, Ausman KD, et al. The differential cytotoxicity of water-soluble fullerenes. Nano Lett. 2004;4:1881–7.</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98. Yamawaki H, Iwai N. Cytotoxicity of water-soluble fullerene in vascular endothelial cells. Am J Physiol Cell Physiol. 2006;290:C1495–502. [</w:t>
      </w:r>
      <w:hyperlink r:id="rId287"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99. Mori T, Takada H, Ito S, Matsubayashi K, Miwa N, Sawaguchi T. Preclinical studies on safety of fullerene upon acute oral administration and evaluation for no mutagenesis. Toxicology. 2006;225:48–54.[</w:t>
      </w:r>
      <w:hyperlink r:id="rId288"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100. Nelson MA, Domann FE, Bowden GT, Hooser SB, Fernando Q, Carter DE. Effects of acute and subchronic exposure of topically applied fullerene extracts on the mouse skin. Toxicol Industrial Health. 1993;9:623–30. [</w:t>
      </w:r>
      <w:hyperlink r:id="rId289"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101. Cray J, Jr, Henderson SE, Smith DM, Kinsella CR, Jr, Bykowski M, Cooper GM, et al. BMP-2-regenerated calvarial bone: a biomechanical appraisal in a large animal model. Ann Plastic Surgery. 2013[</w:t>
      </w:r>
      <w:hyperlink r:id="rId290"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102. Struewer J, Cronlein M, Ziring E, Schwarting T, Kratz M, Ruchholtz S, et al. Effect of bone morphogenetic protein-2 on tendon-bone integration in an in vitro cell culture. Orthopedics. 2013;36:e200–6. [</w:t>
      </w:r>
      <w:hyperlink r:id="rId291"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103. Cordonnier T, Langonne A, Sohier J, Layrolle P, Rosset P, Sensebe L, et al. Consistent osteoblastic differentiation of human mesenchymal stem cells with bone morphogenetic protein 4 and low serum. Tissue Eng Part C, Meth. 2011;17:249–59. [</w:t>
      </w:r>
      <w:hyperlink r:id="rId292"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104. Shiozaki Y, Kitajima T, Mazaki T, Yoshida A, Tanaka M, Umezawa A, et al. Enhanced in vivo osteogenesis by nanocarrier-fused bone morphogenetic protein-4. Int J Nanomed. 2013;8:1349–60.[</w:t>
      </w:r>
      <w:hyperlink r:id="rId293" w:history="1">
        <w:r w:rsidRPr="00A0258B">
          <w:rPr>
            <w:rFonts w:ascii="Times New Roman" w:eastAsia="Times New Roman" w:hAnsi="Times New Roman" w:cs="Times New Roman"/>
            <w:color w:val="642A8F"/>
            <w:sz w:val="25"/>
            <w:szCs w:val="25"/>
            <w:u w:val="single"/>
          </w:rPr>
          <w:t>PMC free article</w:t>
        </w:r>
      </w:hyperlink>
      <w:r w:rsidRPr="00A0258B">
        <w:rPr>
          <w:rFonts w:ascii="Times New Roman" w:eastAsia="Times New Roman" w:hAnsi="Times New Roman" w:cs="Times New Roman"/>
          <w:color w:val="000000"/>
          <w:sz w:val="25"/>
          <w:szCs w:val="25"/>
        </w:rPr>
        <w:t>] [</w:t>
      </w:r>
      <w:hyperlink r:id="rId294"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105. Vukicevic S, Grgurevic L. BMP-6 and mesenchymal stem cell differentiation. Cytokine Growth Factor Rev. 2009;20:441–8. [</w:t>
      </w:r>
      <w:hyperlink r:id="rId295"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106. Grasser WA, Orlic I, Borovecki F, Riccardi KA, Simic P, Vukicevic S, et al. BMP-6 exerts its osteoinductive effect through activation of IGF-I and EGF pathways. Int Orthop. 2007;31:759–65.[</w:t>
      </w:r>
      <w:hyperlink r:id="rId296" w:history="1">
        <w:r w:rsidRPr="00A0258B">
          <w:rPr>
            <w:rFonts w:ascii="Times New Roman" w:eastAsia="Times New Roman" w:hAnsi="Times New Roman" w:cs="Times New Roman"/>
            <w:color w:val="642A8F"/>
            <w:sz w:val="25"/>
            <w:szCs w:val="25"/>
            <w:u w:val="single"/>
          </w:rPr>
          <w:t>PMC free article</w:t>
        </w:r>
      </w:hyperlink>
      <w:r w:rsidRPr="00A0258B">
        <w:rPr>
          <w:rFonts w:ascii="Times New Roman" w:eastAsia="Times New Roman" w:hAnsi="Times New Roman" w:cs="Times New Roman"/>
          <w:color w:val="000000"/>
          <w:sz w:val="25"/>
          <w:szCs w:val="25"/>
        </w:rPr>
        <w:t>] [</w:t>
      </w:r>
      <w:hyperlink r:id="rId297"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lastRenderedPageBreak/>
        <w:t>107. Feng G, Wan Y, Balian G, Laurencin CT, Li X. Adenovirusmediated expression of growth and differentiation factor-5 promotes chondrogenesis of adipose stem cells. Growth Factors. 2008;26:132–42.[</w:t>
      </w:r>
      <w:hyperlink r:id="rId298" w:history="1">
        <w:r w:rsidRPr="00A0258B">
          <w:rPr>
            <w:rFonts w:ascii="Times New Roman" w:eastAsia="Times New Roman" w:hAnsi="Times New Roman" w:cs="Times New Roman"/>
            <w:color w:val="642A8F"/>
            <w:sz w:val="25"/>
            <w:szCs w:val="25"/>
            <w:u w:val="single"/>
          </w:rPr>
          <w:t>PMC free article</w:t>
        </w:r>
      </w:hyperlink>
      <w:r w:rsidRPr="00A0258B">
        <w:rPr>
          <w:rFonts w:ascii="Times New Roman" w:eastAsia="Times New Roman" w:hAnsi="Times New Roman" w:cs="Times New Roman"/>
          <w:color w:val="000000"/>
          <w:sz w:val="25"/>
          <w:szCs w:val="25"/>
        </w:rPr>
        <w:t>] [</w:t>
      </w:r>
      <w:hyperlink r:id="rId299"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108. Cui M, Wan Y, Anderson DG, Shen FH, Leo BM, Laurencin CT, et al. Mouse growth and differentiation factor-5 protein and DNA therapy potentiates intervertebral disc cell aggregation and chondrogenic gene expression. Spine J. 2008;8:287–95. [</w:t>
      </w:r>
      <w:hyperlink r:id="rId300"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109. Thompson JP, Oegema TR, Jr, Bradford DS. Stimulation of mature canine intervertebral disc by growth factors. Spine (Phila Pa 1976) 1991;16:253–60. [</w:t>
      </w:r>
      <w:hyperlink r:id="rId301"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110. Gruber HE, Fisher EC, Jr, Desai B, Stasky AA, Hoelscher G, Hanley EN., Jr Human intervertebral disc cells from the annulus: three-dimensional culture in agarose or alginate and responsiveness to TGF-beta1. Exp Cell Res. 1997;235:13–21. [</w:t>
      </w:r>
      <w:hyperlink r:id="rId302"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111. Matsunaga S, Nagano S, Onishi T, Morimoto N, Suzuki S, Komiya S. Age-related changes in expression of transforming growth factor-beta and receptors in cells of intervertebral discs. J Neurosurg. 2003;98:63–7. [</w:t>
      </w:r>
      <w:hyperlink r:id="rId303"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112. Specchia N, Pagnotta A, Toesca A, Greco F. Cytokines and growth factors in the protruded intervertebral disc of the lumbar spine. Euro Spine J. 2002;11:145–51. [</w:t>
      </w:r>
      <w:hyperlink r:id="rId304" w:history="1">
        <w:r w:rsidRPr="00A0258B">
          <w:rPr>
            <w:rFonts w:ascii="Times New Roman" w:eastAsia="Times New Roman" w:hAnsi="Times New Roman" w:cs="Times New Roman"/>
            <w:color w:val="642A8F"/>
            <w:sz w:val="25"/>
            <w:szCs w:val="25"/>
            <w:u w:val="single"/>
          </w:rPr>
          <w:t>PMC free article</w:t>
        </w:r>
      </w:hyperlink>
      <w:r w:rsidRPr="00A0258B">
        <w:rPr>
          <w:rFonts w:ascii="Times New Roman" w:eastAsia="Times New Roman" w:hAnsi="Times New Roman" w:cs="Times New Roman"/>
          <w:color w:val="000000"/>
          <w:sz w:val="25"/>
          <w:szCs w:val="25"/>
        </w:rPr>
        <w:t>] [</w:t>
      </w:r>
      <w:hyperlink r:id="rId305"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113. Okuda S, Myoui A, Ariga K, Nakase T, Yonenobu K, Yoshikawa H. Mechanisms of age-related decline in insulin-like growth factor-I dependent proteoglycan synthesis in rat intervertebral disc cells. Spine (Phila Pa 1976) 2001;26:2421–6. [</w:t>
      </w:r>
      <w:hyperlink r:id="rId306"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114. Osada R, Ohshima H, Ishihara H, Yudoh K, Sakai K, Matsui H, et al. Autocrine/paracrine mechanism of insulin-like growth factor-1 secretion, and the effect of insulin-like growth factor-1 on proteoglycan synthesis in bovine intervertebral discs. J Orthop Res. 1996;14:690–9. [</w:t>
      </w:r>
      <w:hyperlink r:id="rId307"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115. Gruber HE, Norton HJ, Hanley EN., Jr Anti-apoptotic effects of IGF-1 and PDGF on human intervertebral disc cells in vitro. Spine (Phila Pa 1976) 2000;25:2153–7. [</w:t>
      </w:r>
      <w:hyperlink r:id="rId308"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116. Bobacz K, Gruber R, Soleiman A, Graninger WB, Luyten FP, Erlacher L. Cartilage-derived morphogenetic protein-1 and -2 are endogenously expressed in healthy and osteoarthritic human articular chondrocytes and stimulate matrix synthesis. Osteoarthritis Cartilage. 2002;10:394–401. [</w:t>
      </w:r>
      <w:hyperlink r:id="rId309"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117. Yang J, Alemany LB, Driver J, Hartgerink JD, Barron AR. Fullerene-derivatized amino acids: synthesis, characterization, antioxidant properties, and solid-phase peptide synthesis. Chemistry. 2007;13:2530–45. [</w:t>
      </w:r>
      <w:hyperlink r:id="rId310"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118. Da Ros T, Bergamin M, Vazquez E, Spalluto G, Baiti B, Moro S, et al. Synthesis and molecular modeling studies of fullerene-5,6,7-trimethoxyindole-oligonucleotide conjugates as possible probes for study of photochemical reactions in DNA triple helices. Eur J Org Chem. 2002;3:405–13.</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lastRenderedPageBreak/>
        <w:t>119. Imahori H, Fukuzumi S. Porphyrin- and fullerene-based molecular photovoltaic devices. Adv Funct Mater. 2004;14:525–36.</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120. de la Torre MDL, Rodrigues AGP, Tome AC, Silva AMS, Cavaleiro JAS. [60]Fullerene-flavonoid dyads. Tetrahedron. 2004;60:3581–92.</w:t>
      </w:r>
    </w:p>
    <w:p w:rsidR="00A0258B" w:rsidRPr="00A0258B" w:rsidRDefault="00A0258B" w:rsidP="00A0258B">
      <w:pPr>
        <w:shd w:val="clear" w:color="auto" w:fill="FFFFFF"/>
        <w:spacing w:line="240" w:lineRule="auto"/>
        <w:rPr>
          <w:rFonts w:ascii="Times New Roman" w:eastAsia="Times New Roman" w:hAnsi="Times New Roman" w:cs="Times New Roman"/>
          <w:color w:val="000000"/>
          <w:sz w:val="25"/>
          <w:szCs w:val="25"/>
        </w:rPr>
      </w:pPr>
      <w:r w:rsidRPr="00A0258B">
        <w:rPr>
          <w:rFonts w:ascii="Times New Roman" w:eastAsia="Times New Roman" w:hAnsi="Times New Roman" w:cs="Times New Roman"/>
          <w:color w:val="000000"/>
          <w:sz w:val="25"/>
          <w:szCs w:val="25"/>
        </w:rPr>
        <w:t>121. Shi J, Votruba AR, Farokhzad OC, Langer R. Nanotechnology in drug delivery and tissue engineering: from discovery to applications. Nano Lett. 2010;10:3223–30. [</w:t>
      </w:r>
      <w:hyperlink r:id="rId311" w:history="1">
        <w:r w:rsidRPr="00A0258B">
          <w:rPr>
            <w:rFonts w:ascii="Times New Roman" w:eastAsia="Times New Roman" w:hAnsi="Times New Roman" w:cs="Times New Roman"/>
            <w:color w:val="642A8F"/>
            <w:sz w:val="25"/>
            <w:szCs w:val="25"/>
            <w:u w:val="single"/>
          </w:rPr>
          <w:t>PMC free article</w:t>
        </w:r>
      </w:hyperlink>
      <w:r w:rsidRPr="00A0258B">
        <w:rPr>
          <w:rFonts w:ascii="Times New Roman" w:eastAsia="Times New Roman" w:hAnsi="Times New Roman" w:cs="Times New Roman"/>
          <w:color w:val="000000"/>
          <w:sz w:val="25"/>
          <w:szCs w:val="25"/>
        </w:rPr>
        <w:t>] [</w:t>
      </w:r>
      <w:hyperlink r:id="rId312" w:tgtFrame="pmc_ext" w:history="1">
        <w:r w:rsidRPr="00A0258B">
          <w:rPr>
            <w:rFonts w:ascii="Times New Roman" w:eastAsia="Times New Roman" w:hAnsi="Times New Roman" w:cs="Times New Roman"/>
            <w:color w:val="642A8F"/>
            <w:sz w:val="25"/>
            <w:szCs w:val="25"/>
            <w:u w:val="single"/>
          </w:rPr>
          <w:t>PubMed</w:t>
        </w:r>
      </w:hyperlink>
      <w:r w:rsidRPr="00A0258B">
        <w:rPr>
          <w:rFonts w:ascii="Times New Roman" w:eastAsia="Times New Roman" w:hAnsi="Times New Roman" w:cs="Times New Roman"/>
          <w:color w:val="000000"/>
          <w:sz w:val="25"/>
          <w:szCs w:val="25"/>
        </w:rPr>
        <w:t>]</w:t>
      </w:r>
    </w:p>
    <w:p w:rsidR="00A0258B" w:rsidRPr="00A0258B" w:rsidRDefault="00A0258B" w:rsidP="00A0258B">
      <w:pPr>
        <w:shd w:val="clear" w:color="auto" w:fill="FFFFFF"/>
        <w:spacing w:before="270" w:after="135" w:line="240" w:lineRule="auto"/>
        <w:outlineLvl w:val="1"/>
        <w:rPr>
          <w:rFonts w:ascii="Arial" w:eastAsia="Times New Roman" w:hAnsi="Arial" w:cs="Arial"/>
          <w:b/>
          <w:bCs/>
          <w:color w:val="000000"/>
          <w:sz w:val="25"/>
          <w:szCs w:val="25"/>
        </w:rPr>
      </w:pPr>
      <w:r w:rsidRPr="00A0258B">
        <w:rPr>
          <w:rFonts w:ascii="Arial" w:eastAsia="Times New Roman" w:hAnsi="Arial" w:cs="Arial"/>
          <w:b/>
          <w:bCs/>
          <w:color w:val="000000"/>
          <w:sz w:val="25"/>
          <w:szCs w:val="25"/>
        </w:rPr>
        <w:t>Formats:</w:t>
      </w:r>
    </w:p>
    <w:p w:rsidR="00A0258B" w:rsidRPr="00A0258B" w:rsidRDefault="00A0258B" w:rsidP="00A0258B">
      <w:pPr>
        <w:numPr>
          <w:ilvl w:val="0"/>
          <w:numId w:val="1"/>
        </w:numPr>
        <w:shd w:val="clear" w:color="auto" w:fill="FFFFFF"/>
        <w:spacing w:after="0" w:line="240" w:lineRule="auto"/>
        <w:ind w:left="456" w:right="366"/>
        <w:rPr>
          <w:rFonts w:ascii="Arial" w:eastAsia="Times New Roman" w:hAnsi="Arial" w:cs="Arial"/>
          <w:color w:val="5E5E5E"/>
          <w:sz w:val="20"/>
          <w:szCs w:val="20"/>
        </w:rPr>
      </w:pPr>
      <w:r w:rsidRPr="00A0258B">
        <w:rPr>
          <w:rFonts w:ascii="Arial" w:eastAsia="Times New Roman" w:hAnsi="Arial" w:cs="Arial"/>
          <w:color w:val="5E5E5E"/>
          <w:sz w:val="20"/>
          <w:szCs w:val="20"/>
        </w:rPr>
        <w:t>Article</w:t>
      </w:r>
    </w:p>
    <w:p w:rsidR="00A0258B" w:rsidRPr="00A0258B" w:rsidRDefault="00A0258B" w:rsidP="00A0258B">
      <w:pPr>
        <w:shd w:val="clear" w:color="auto" w:fill="FFFFFF"/>
        <w:spacing w:after="0" w:line="240" w:lineRule="auto"/>
        <w:rPr>
          <w:rFonts w:ascii="Arial" w:eastAsia="Times New Roman" w:hAnsi="Arial" w:cs="Arial"/>
          <w:color w:val="000000"/>
          <w:sz w:val="20"/>
          <w:szCs w:val="20"/>
        </w:rPr>
      </w:pPr>
      <w:r w:rsidRPr="00A0258B">
        <w:rPr>
          <w:rFonts w:ascii="Arial" w:eastAsia="Times New Roman" w:hAnsi="Arial" w:cs="Arial"/>
          <w:color w:val="000000"/>
          <w:sz w:val="20"/>
          <w:szCs w:val="20"/>
        </w:rPr>
        <w:t> | </w:t>
      </w:r>
    </w:p>
    <w:p w:rsidR="00A0258B" w:rsidRPr="00A0258B" w:rsidRDefault="00A0258B" w:rsidP="00A0258B">
      <w:pPr>
        <w:numPr>
          <w:ilvl w:val="0"/>
          <w:numId w:val="1"/>
        </w:numPr>
        <w:shd w:val="clear" w:color="auto" w:fill="FFFFFF"/>
        <w:spacing w:after="0" w:line="240" w:lineRule="auto"/>
        <w:ind w:left="456" w:right="366"/>
        <w:rPr>
          <w:rFonts w:ascii="Arial" w:eastAsia="Times New Roman" w:hAnsi="Arial" w:cs="Arial"/>
          <w:color w:val="000000"/>
          <w:sz w:val="20"/>
          <w:szCs w:val="20"/>
        </w:rPr>
      </w:pPr>
      <w:hyperlink r:id="rId313" w:history="1">
        <w:r w:rsidRPr="00A0258B">
          <w:rPr>
            <w:rFonts w:ascii="Arial" w:eastAsia="Times New Roman" w:hAnsi="Arial" w:cs="Arial"/>
            <w:color w:val="642A8F"/>
            <w:sz w:val="20"/>
            <w:szCs w:val="20"/>
            <w:u w:val="single"/>
          </w:rPr>
          <w:t>PubReader</w:t>
        </w:r>
      </w:hyperlink>
    </w:p>
    <w:p w:rsidR="00A0258B" w:rsidRPr="00A0258B" w:rsidRDefault="00A0258B" w:rsidP="00A0258B">
      <w:pPr>
        <w:shd w:val="clear" w:color="auto" w:fill="FFFFFF"/>
        <w:spacing w:after="0" w:line="240" w:lineRule="auto"/>
        <w:rPr>
          <w:rFonts w:ascii="Arial" w:eastAsia="Times New Roman" w:hAnsi="Arial" w:cs="Arial"/>
          <w:color w:val="000000"/>
          <w:sz w:val="20"/>
          <w:szCs w:val="20"/>
        </w:rPr>
      </w:pPr>
      <w:r w:rsidRPr="00A0258B">
        <w:rPr>
          <w:rFonts w:ascii="Arial" w:eastAsia="Times New Roman" w:hAnsi="Arial" w:cs="Arial"/>
          <w:color w:val="000000"/>
          <w:sz w:val="20"/>
          <w:szCs w:val="20"/>
        </w:rPr>
        <w:t> | </w:t>
      </w:r>
    </w:p>
    <w:p w:rsidR="00A0258B" w:rsidRPr="00A0258B" w:rsidRDefault="00A0258B" w:rsidP="00A0258B">
      <w:pPr>
        <w:numPr>
          <w:ilvl w:val="0"/>
          <w:numId w:val="1"/>
        </w:numPr>
        <w:shd w:val="clear" w:color="auto" w:fill="FFFFFF"/>
        <w:spacing w:after="0" w:line="240" w:lineRule="auto"/>
        <w:ind w:left="456" w:right="366"/>
        <w:rPr>
          <w:rFonts w:ascii="Arial" w:eastAsia="Times New Roman" w:hAnsi="Arial" w:cs="Arial"/>
          <w:color w:val="000000"/>
          <w:sz w:val="20"/>
          <w:szCs w:val="20"/>
        </w:rPr>
      </w:pPr>
      <w:hyperlink r:id="rId314" w:history="1">
        <w:r w:rsidRPr="00A0258B">
          <w:rPr>
            <w:rFonts w:ascii="Arial" w:eastAsia="Times New Roman" w:hAnsi="Arial" w:cs="Arial"/>
            <w:color w:val="642A8F"/>
            <w:sz w:val="20"/>
            <w:szCs w:val="20"/>
            <w:u w:val="single"/>
          </w:rPr>
          <w:t>ePub (beta)</w:t>
        </w:r>
      </w:hyperlink>
    </w:p>
    <w:p w:rsidR="00A0258B" w:rsidRPr="00A0258B" w:rsidRDefault="00A0258B" w:rsidP="00A0258B">
      <w:pPr>
        <w:shd w:val="clear" w:color="auto" w:fill="FFFFFF"/>
        <w:spacing w:after="0" w:line="240" w:lineRule="auto"/>
        <w:rPr>
          <w:rFonts w:ascii="Arial" w:eastAsia="Times New Roman" w:hAnsi="Arial" w:cs="Arial"/>
          <w:color w:val="000000"/>
          <w:sz w:val="20"/>
          <w:szCs w:val="20"/>
        </w:rPr>
      </w:pPr>
      <w:r w:rsidRPr="00A0258B">
        <w:rPr>
          <w:rFonts w:ascii="Arial" w:eastAsia="Times New Roman" w:hAnsi="Arial" w:cs="Arial"/>
          <w:color w:val="000000"/>
          <w:sz w:val="20"/>
          <w:szCs w:val="20"/>
        </w:rPr>
        <w:t> | </w:t>
      </w:r>
    </w:p>
    <w:p w:rsidR="00A0258B" w:rsidRPr="00A0258B" w:rsidRDefault="00A0258B" w:rsidP="00A0258B">
      <w:pPr>
        <w:numPr>
          <w:ilvl w:val="0"/>
          <w:numId w:val="1"/>
        </w:numPr>
        <w:shd w:val="clear" w:color="auto" w:fill="FFFFFF"/>
        <w:spacing w:after="0" w:line="240" w:lineRule="auto"/>
        <w:ind w:left="456" w:right="366"/>
        <w:rPr>
          <w:rFonts w:ascii="Arial" w:eastAsia="Times New Roman" w:hAnsi="Arial" w:cs="Arial"/>
          <w:color w:val="000000"/>
          <w:sz w:val="20"/>
          <w:szCs w:val="20"/>
        </w:rPr>
      </w:pPr>
      <w:hyperlink r:id="rId315" w:history="1">
        <w:r w:rsidRPr="00A0258B">
          <w:rPr>
            <w:rFonts w:ascii="Arial" w:eastAsia="Times New Roman" w:hAnsi="Arial" w:cs="Arial"/>
            <w:color w:val="642A8F"/>
            <w:sz w:val="20"/>
            <w:szCs w:val="20"/>
            <w:u w:val="single"/>
          </w:rPr>
          <w:t>PDF (613K)</w:t>
        </w:r>
      </w:hyperlink>
    </w:p>
    <w:p w:rsidR="00A0258B" w:rsidRPr="00A0258B" w:rsidRDefault="00A0258B" w:rsidP="00A0258B">
      <w:pPr>
        <w:shd w:val="clear" w:color="auto" w:fill="FFFFFF"/>
        <w:spacing w:after="0" w:line="240" w:lineRule="auto"/>
        <w:rPr>
          <w:rFonts w:ascii="Arial" w:eastAsia="Times New Roman" w:hAnsi="Arial" w:cs="Arial"/>
          <w:color w:val="000000"/>
          <w:sz w:val="20"/>
          <w:szCs w:val="20"/>
        </w:rPr>
      </w:pPr>
      <w:r w:rsidRPr="00A0258B">
        <w:rPr>
          <w:rFonts w:ascii="Arial" w:eastAsia="Times New Roman" w:hAnsi="Arial" w:cs="Arial"/>
          <w:color w:val="000000"/>
          <w:sz w:val="20"/>
          <w:szCs w:val="20"/>
        </w:rPr>
        <w:t> | </w:t>
      </w:r>
    </w:p>
    <w:p w:rsidR="00A0258B" w:rsidRPr="00A0258B" w:rsidRDefault="00A0258B" w:rsidP="00A0258B">
      <w:pPr>
        <w:numPr>
          <w:ilvl w:val="0"/>
          <w:numId w:val="1"/>
        </w:numPr>
        <w:shd w:val="clear" w:color="auto" w:fill="FFFFFF"/>
        <w:spacing w:line="240" w:lineRule="auto"/>
        <w:ind w:left="456" w:right="366"/>
        <w:rPr>
          <w:rFonts w:ascii="Arial" w:eastAsia="Times New Roman" w:hAnsi="Arial" w:cs="Arial"/>
          <w:color w:val="000000"/>
          <w:sz w:val="20"/>
          <w:szCs w:val="20"/>
        </w:rPr>
      </w:pPr>
      <w:hyperlink r:id="rId316" w:history="1">
        <w:r w:rsidRPr="00A0258B">
          <w:rPr>
            <w:rFonts w:ascii="Arial" w:eastAsia="Times New Roman" w:hAnsi="Arial" w:cs="Arial"/>
            <w:color w:val="642A8F"/>
            <w:sz w:val="20"/>
            <w:szCs w:val="20"/>
            <w:u w:val="single"/>
          </w:rPr>
          <w:t>Citation</w:t>
        </w:r>
      </w:hyperlink>
    </w:p>
    <w:p w:rsidR="00A0258B" w:rsidRPr="00A0258B" w:rsidRDefault="00A0258B" w:rsidP="00A0258B">
      <w:pPr>
        <w:shd w:val="clear" w:color="auto" w:fill="FFFFFF"/>
        <w:spacing w:before="270" w:after="135" w:line="240" w:lineRule="auto"/>
        <w:outlineLvl w:val="1"/>
        <w:rPr>
          <w:rFonts w:ascii="Arial" w:eastAsia="Times New Roman" w:hAnsi="Arial" w:cs="Arial"/>
          <w:b/>
          <w:bCs/>
          <w:color w:val="000000"/>
          <w:sz w:val="25"/>
          <w:szCs w:val="25"/>
        </w:rPr>
      </w:pPr>
      <w:r w:rsidRPr="00A0258B">
        <w:rPr>
          <w:rFonts w:ascii="Arial" w:eastAsia="Times New Roman" w:hAnsi="Arial" w:cs="Arial"/>
          <w:b/>
          <w:bCs/>
          <w:color w:val="000000"/>
          <w:sz w:val="25"/>
          <w:szCs w:val="25"/>
        </w:rPr>
        <w:t>Share</w:t>
      </w:r>
    </w:p>
    <w:p w:rsidR="00A0258B" w:rsidRPr="00A0258B" w:rsidRDefault="00A0258B" w:rsidP="00A0258B">
      <w:pPr>
        <w:numPr>
          <w:ilvl w:val="0"/>
          <w:numId w:val="2"/>
        </w:numPr>
        <w:shd w:val="clear" w:color="auto" w:fill="FFFFFF"/>
        <w:spacing w:after="480" w:line="240" w:lineRule="auto"/>
        <w:ind w:left="384" w:right="534"/>
        <w:rPr>
          <w:rFonts w:ascii="Arial" w:eastAsia="Times New Roman" w:hAnsi="Arial" w:cs="Arial"/>
          <w:color w:val="000000"/>
          <w:sz w:val="20"/>
          <w:szCs w:val="20"/>
        </w:rPr>
      </w:pPr>
      <w:hyperlink r:id="rId317" w:tgtFrame="_blank" w:history="1">
        <w:r w:rsidRPr="00A0258B">
          <w:rPr>
            <w:rFonts w:ascii="Arial" w:eastAsia="Times New Roman" w:hAnsi="Arial" w:cs="Arial"/>
            <w:noProof/>
            <w:color w:val="5E5E5E"/>
            <w:sz w:val="20"/>
            <w:szCs w:val="20"/>
          </w:rPr>
          <w:drawing>
            <wp:inline distT="0" distB="0" distL="0" distR="0" wp14:anchorId="170C0762" wp14:editId="6403A63A">
              <wp:extent cx="304800" cy="304800"/>
              <wp:effectExtent l="0" t="0" r="0" b="0"/>
              <wp:docPr id="6" name="Picture 6" descr="Share on Facebook">
                <a:hlinkClick xmlns:a="http://schemas.openxmlformats.org/drawingml/2006/main" r:id="rId3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are on Facebook">
                        <a:hlinkClick r:id="rId318" tgtFrame="&quot;_blank&quot;"/>
                      </pic:cNvPr>
                      <pic:cNvPicPr>
                        <a:picLocks noChangeAspect="1" noChangeArrowheads="1"/>
                      </pic:cNvPicPr>
                    </pic:nvPicPr>
                    <pic:blipFill>
                      <a:blip r:embed="rId3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A0258B">
          <w:rPr>
            <w:rFonts w:ascii="Arial" w:eastAsia="Times New Roman" w:hAnsi="Arial" w:cs="Arial"/>
            <w:color w:val="5E5E5E"/>
            <w:sz w:val="20"/>
            <w:szCs w:val="20"/>
            <w:u w:val="single"/>
          </w:rPr>
          <w:t> Facebook</w:t>
        </w:r>
      </w:hyperlink>
    </w:p>
    <w:p w:rsidR="00A0258B" w:rsidRPr="00A0258B" w:rsidRDefault="00A0258B" w:rsidP="00A0258B">
      <w:pPr>
        <w:numPr>
          <w:ilvl w:val="0"/>
          <w:numId w:val="2"/>
        </w:numPr>
        <w:shd w:val="clear" w:color="auto" w:fill="FFFFFF"/>
        <w:spacing w:after="480" w:line="240" w:lineRule="auto"/>
        <w:ind w:left="384" w:right="534"/>
        <w:rPr>
          <w:rFonts w:ascii="Arial" w:eastAsia="Times New Roman" w:hAnsi="Arial" w:cs="Arial"/>
          <w:color w:val="000000"/>
          <w:sz w:val="20"/>
          <w:szCs w:val="20"/>
        </w:rPr>
      </w:pPr>
      <w:hyperlink r:id="rId320" w:tgtFrame="_blank" w:history="1">
        <w:r w:rsidRPr="00A0258B">
          <w:rPr>
            <w:rFonts w:ascii="Arial" w:eastAsia="Times New Roman" w:hAnsi="Arial" w:cs="Arial"/>
            <w:noProof/>
            <w:color w:val="5E5E5E"/>
            <w:sz w:val="20"/>
            <w:szCs w:val="20"/>
          </w:rPr>
          <w:drawing>
            <wp:inline distT="0" distB="0" distL="0" distR="0" wp14:anchorId="4383FBB7" wp14:editId="72287478">
              <wp:extent cx="304800" cy="304800"/>
              <wp:effectExtent l="0" t="0" r="0" b="0"/>
              <wp:docPr id="7" name="Picture 7" descr="Share on Twitter">
                <a:hlinkClick xmlns:a="http://schemas.openxmlformats.org/drawingml/2006/main" r:id="rId3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are on Twitter">
                        <a:hlinkClick r:id="rId321" tgtFrame="&quot;_blank&quot;"/>
                      </pic:cNvPr>
                      <pic:cNvPicPr>
                        <a:picLocks noChangeAspect="1" noChangeArrowheads="1"/>
                      </pic:cNvPicPr>
                    </pic:nvPicPr>
                    <pic:blipFill>
                      <a:blip r:embed="rId32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A0258B">
          <w:rPr>
            <w:rFonts w:ascii="Arial" w:eastAsia="Times New Roman" w:hAnsi="Arial" w:cs="Arial"/>
            <w:color w:val="5E5E5E"/>
            <w:sz w:val="20"/>
            <w:szCs w:val="20"/>
            <w:u w:val="single"/>
          </w:rPr>
          <w:t> Twitter</w:t>
        </w:r>
      </w:hyperlink>
    </w:p>
    <w:p w:rsidR="00A0258B" w:rsidRPr="00A0258B" w:rsidRDefault="00A0258B" w:rsidP="00A0258B">
      <w:pPr>
        <w:numPr>
          <w:ilvl w:val="0"/>
          <w:numId w:val="2"/>
        </w:numPr>
        <w:shd w:val="clear" w:color="auto" w:fill="FFFFFF"/>
        <w:spacing w:after="480" w:line="240" w:lineRule="auto"/>
        <w:ind w:left="384" w:right="534"/>
        <w:rPr>
          <w:rFonts w:ascii="Arial" w:eastAsia="Times New Roman" w:hAnsi="Arial" w:cs="Arial"/>
          <w:color w:val="000000"/>
          <w:sz w:val="20"/>
          <w:szCs w:val="20"/>
        </w:rPr>
      </w:pPr>
      <w:hyperlink r:id="rId323" w:tgtFrame="_blank" w:history="1">
        <w:r w:rsidRPr="00A0258B">
          <w:rPr>
            <w:rFonts w:ascii="Arial" w:eastAsia="Times New Roman" w:hAnsi="Arial" w:cs="Arial"/>
            <w:noProof/>
            <w:color w:val="5E5E5E"/>
            <w:sz w:val="20"/>
            <w:szCs w:val="20"/>
          </w:rPr>
          <w:drawing>
            <wp:inline distT="0" distB="0" distL="0" distR="0" wp14:anchorId="395C6F67" wp14:editId="4A1C7422">
              <wp:extent cx="304800" cy="304800"/>
              <wp:effectExtent l="0" t="0" r="0" b="0"/>
              <wp:docPr id="8" name="Picture 8" descr="Share on Google Plus">
                <a:hlinkClick xmlns:a="http://schemas.openxmlformats.org/drawingml/2006/main" r:id="rId3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hare on Google Plus">
                        <a:hlinkClick r:id="rId324" tgtFrame="&quot;_blank&quot;"/>
                      </pic:cNvPr>
                      <pic:cNvPicPr>
                        <a:picLocks noChangeAspect="1" noChangeArrowheads="1"/>
                      </pic:cNvPicPr>
                    </pic:nvPicPr>
                    <pic:blipFill>
                      <a:blip r:embed="rId32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A0258B">
          <w:rPr>
            <w:rFonts w:ascii="Arial" w:eastAsia="Times New Roman" w:hAnsi="Arial" w:cs="Arial"/>
            <w:color w:val="5E5E5E"/>
            <w:sz w:val="20"/>
            <w:szCs w:val="20"/>
            <w:u w:val="single"/>
          </w:rPr>
          <w:t> Google+</w:t>
        </w:r>
      </w:hyperlink>
    </w:p>
    <w:p w:rsidR="00A0258B" w:rsidRPr="00A0258B" w:rsidRDefault="00A0258B" w:rsidP="00A0258B">
      <w:pPr>
        <w:shd w:val="clear" w:color="auto" w:fill="FFFFFF"/>
        <w:spacing w:after="0" w:line="432" w:lineRule="atLeast"/>
        <w:rPr>
          <w:rFonts w:ascii="Arial" w:eastAsia="Times New Roman" w:hAnsi="Arial" w:cs="Arial"/>
          <w:color w:val="505050"/>
          <w:sz w:val="17"/>
          <w:szCs w:val="17"/>
        </w:rPr>
      </w:pPr>
      <w:hyperlink r:id="rId326" w:tgtFrame="_blank" w:history="1">
        <w:r w:rsidRPr="00A0258B">
          <w:rPr>
            <w:rFonts w:ascii="Arial" w:eastAsia="Times New Roman" w:hAnsi="Arial" w:cs="Arial"/>
            <w:color w:val="14376C"/>
            <w:sz w:val="17"/>
            <w:szCs w:val="17"/>
            <w:u w:val="single"/>
          </w:rPr>
          <w:t>Support Center</w:t>
        </w:r>
      </w:hyperlink>
      <w:hyperlink r:id="rId327" w:tgtFrame="_blank" w:history="1">
        <w:r w:rsidRPr="00A0258B">
          <w:rPr>
            <w:rFonts w:ascii="Arial" w:eastAsia="Times New Roman" w:hAnsi="Arial" w:cs="Arial"/>
            <w:color w:val="14376C"/>
            <w:sz w:val="17"/>
            <w:szCs w:val="17"/>
            <w:u w:val="single"/>
          </w:rPr>
          <w:t>Support Center</w:t>
        </w:r>
      </w:hyperlink>
    </w:p>
    <w:p w:rsidR="00A0258B" w:rsidRPr="00A0258B" w:rsidRDefault="00A0258B" w:rsidP="00A0258B">
      <w:pPr>
        <w:shd w:val="clear" w:color="auto" w:fill="FFFFFF"/>
        <w:spacing w:line="240" w:lineRule="atLeast"/>
        <w:ind w:firstLine="25072"/>
        <w:jc w:val="center"/>
        <w:rPr>
          <w:rFonts w:ascii="Arial" w:eastAsia="Times New Roman" w:hAnsi="Arial" w:cs="Arial"/>
          <w:color w:val="14376C"/>
          <w:sz w:val="17"/>
          <w:szCs w:val="17"/>
        </w:rPr>
      </w:pPr>
      <w:r w:rsidRPr="00A0258B">
        <w:rPr>
          <w:rFonts w:ascii="Arial" w:eastAsia="Times New Roman" w:hAnsi="Arial" w:cs="Arial"/>
          <w:color w:val="14376C"/>
          <w:sz w:val="17"/>
          <w:szCs w:val="17"/>
        </w:rPr>
        <w:t>External link. Please review our </w:t>
      </w:r>
      <w:hyperlink r:id="rId328" w:history="1">
        <w:r w:rsidRPr="00A0258B">
          <w:rPr>
            <w:rFonts w:ascii="Arial" w:eastAsia="Times New Roman" w:hAnsi="Arial" w:cs="Arial"/>
            <w:color w:val="14376C"/>
            <w:sz w:val="17"/>
            <w:szCs w:val="17"/>
            <w:u w:val="single"/>
          </w:rPr>
          <w:t>privacy policy</w:t>
        </w:r>
      </w:hyperlink>
      <w:r w:rsidRPr="00A0258B">
        <w:rPr>
          <w:rFonts w:ascii="Arial" w:eastAsia="Times New Roman" w:hAnsi="Arial" w:cs="Arial"/>
          <w:color w:val="14376C"/>
          <w:sz w:val="17"/>
          <w:szCs w:val="17"/>
        </w:rPr>
        <w:t>.</w:t>
      </w:r>
    </w:p>
    <w:p w:rsidR="00761941" w:rsidRDefault="00761941">
      <w:bookmarkStart w:id="0" w:name="_GoBack"/>
      <w:bookmarkEnd w:id="0"/>
    </w:p>
    <w:sectPr w:rsidR="00761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5E200D"/>
    <w:multiLevelType w:val="multilevel"/>
    <w:tmpl w:val="8C4A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E760C7"/>
    <w:multiLevelType w:val="multilevel"/>
    <w:tmpl w:val="E4CE5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58B"/>
    <w:rsid w:val="00761941"/>
    <w:rsid w:val="00A02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3D1A1E-CD30-48A6-9D58-84C9AA2A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025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025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0258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25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025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0258B"/>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A0258B"/>
  </w:style>
  <w:style w:type="paragraph" w:customStyle="1" w:styleId="msonormal0">
    <w:name w:val="msonormal"/>
    <w:basedOn w:val="Normal"/>
    <w:rsid w:val="00A025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0258B"/>
    <w:rPr>
      <w:color w:val="0000FF"/>
      <w:u w:val="single"/>
    </w:rPr>
  </w:style>
  <w:style w:type="character" w:styleId="FollowedHyperlink">
    <w:name w:val="FollowedHyperlink"/>
    <w:basedOn w:val="DefaultParagraphFont"/>
    <w:uiPriority w:val="99"/>
    <w:semiHidden/>
    <w:unhideWhenUsed/>
    <w:rsid w:val="00A0258B"/>
    <w:rPr>
      <w:color w:val="800080"/>
      <w:u w:val="single"/>
    </w:rPr>
  </w:style>
  <w:style w:type="character" w:customStyle="1" w:styleId="cit">
    <w:name w:val="cit"/>
    <w:basedOn w:val="DefaultParagraphFont"/>
    <w:rsid w:val="00A0258B"/>
  </w:style>
  <w:style w:type="character" w:customStyle="1" w:styleId="fm-vol-iss-date">
    <w:name w:val="fm-vol-iss-date"/>
    <w:basedOn w:val="DefaultParagraphFont"/>
    <w:rsid w:val="00A0258B"/>
  </w:style>
  <w:style w:type="character" w:customStyle="1" w:styleId="doi">
    <w:name w:val="doi"/>
    <w:basedOn w:val="DefaultParagraphFont"/>
    <w:rsid w:val="00A0258B"/>
  </w:style>
  <w:style w:type="character" w:customStyle="1" w:styleId="fm-citation-ids-label">
    <w:name w:val="fm-citation-ids-label"/>
    <w:basedOn w:val="DefaultParagraphFont"/>
    <w:rsid w:val="00A0258B"/>
  </w:style>
  <w:style w:type="paragraph" w:customStyle="1" w:styleId="p">
    <w:name w:val="p"/>
    <w:basedOn w:val="Normal"/>
    <w:rsid w:val="00A0258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0258B"/>
    <w:rPr>
      <w:i/>
      <w:iCs/>
    </w:rPr>
  </w:style>
  <w:style w:type="character" w:styleId="Strong">
    <w:name w:val="Strong"/>
    <w:basedOn w:val="DefaultParagraphFont"/>
    <w:uiPriority w:val="22"/>
    <w:qFormat/>
    <w:rsid w:val="00A0258B"/>
    <w:rPr>
      <w:b/>
      <w:bCs/>
    </w:rPr>
  </w:style>
  <w:style w:type="character" w:customStyle="1" w:styleId="kwd-text">
    <w:name w:val="kwd-text"/>
    <w:basedOn w:val="DefaultParagraphFont"/>
    <w:rsid w:val="00A0258B"/>
  </w:style>
  <w:style w:type="paragraph" w:styleId="NormalWeb">
    <w:name w:val="Normal (Web)"/>
    <w:basedOn w:val="Normal"/>
    <w:uiPriority w:val="99"/>
    <w:semiHidden/>
    <w:unhideWhenUsed/>
    <w:rsid w:val="00A02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n">
    <w:name w:val="fn"/>
    <w:basedOn w:val="Normal"/>
    <w:rsid w:val="00A025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citation">
    <w:name w:val="element-citation"/>
    <w:basedOn w:val="DefaultParagraphFont"/>
    <w:rsid w:val="00A0258B"/>
  </w:style>
  <w:style w:type="character" w:customStyle="1" w:styleId="ref-journal">
    <w:name w:val="ref-journal"/>
    <w:basedOn w:val="DefaultParagraphFont"/>
    <w:rsid w:val="00A0258B"/>
  </w:style>
  <w:style w:type="character" w:customStyle="1" w:styleId="ref-vol">
    <w:name w:val="ref-vol"/>
    <w:basedOn w:val="DefaultParagraphFont"/>
    <w:rsid w:val="00A0258B"/>
  </w:style>
  <w:style w:type="character" w:customStyle="1" w:styleId="nowrap">
    <w:name w:val="nowrap"/>
    <w:basedOn w:val="DefaultParagraphFont"/>
    <w:rsid w:val="00A0258B"/>
  </w:style>
  <w:style w:type="paragraph" w:customStyle="1" w:styleId="selected">
    <w:name w:val="selected"/>
    <w:basedOn w:val="Normal"/>
    <w:rsid w:val="00A02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pub-link">
    <w:name w:val="epub-link"/>
    <w:basedOn w:val="Normal"/>
    <w:rsid w:val="00A02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cebook">
    <w:name w:val="facebook"/>
    <w:basedOn w:val="Normal"/>
    <w:rsid w:val="00A02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
    <w:name w:val="twitter"/>
    <w:basedOn w:val="Normal"/>
    <w:rsid w:val="00A02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lus">
    <w:name w:val="gplus"/>
    <w:basedOn w:val="Normal"/>
    <w:rsid w:val="00A025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137298">
      <w:bodyDiv w:val="1"/>
      <w:marLeft w:val="0"/>
      <w:marRight w:val="0"/>
      <w:marTop w:val="0"/>
      <w:marBottom w:val="0"/>
      <w:divBdr>
        <w:top w:val="none" w:sz="0" w:space="0" w:color="auto"/>
        <w:left w:val="none" w:sz="0" w:space="0" w:color="auto"/>
        <w:bottom w:val="none" w:sz="0" w:space="0" w:color="auto"/>
        <w:right w:val="none" w:sz="0" w:space="0" w:color="auto"/>
      </w:divBdr>
      <w:divsChild>
        <w:div w:id="1016469325">
          <w:marLeft w:val="384"/>
          <w:marRight w:val="384"/>
          <w:marTop w:val="0"/>
          <w:marBottom w:val="0"/>
          <w:divBdr>
            <w:top w:val="none" w:sz="0" w:space="0" w:color="auto"/>
            <w:left w:val="none" w:sz="0" w:space="0" w:color="auto"/>
            <w:bottom w:val="none" w:sz="0" w:space="0" w:color="auto"/>
            <w:right w:val="none" w:sz="0" w:space="0" w:color="auto"/>
          </w:divBdr>
          <w:divsChild>
            <w:div w:id="1374117712">
              <w:marLeft w:val="0"/>
              <w:marRight w:val="172"/>
              <w:marTop w:val="0"/>
              <w:marBottom w:val="0"/>
              <w:divBdr>
                <w:top w:val="none" w:sz="0" w:space="0" w:color="auto"/>
                <w:left w:val="none" w:sz="0" w:space="0" w:color="auto"/>
                <w:bottom w:val="none" w:sz="0" w:space="0" w:color="auto"/>
                <w:right w:val="none" w:sz="0" w:space="0" w:color="auto"/>
              </w:divBdr>
              <w:divsChild>
                <w:div w:id="565455610">
                  <w:marLeft w:val="0"/>
                  <w:marRight w:val="0"/>
                  <w:marTop w:val="0"/>
                  <w:marBottom w:val="0"/>
                  <w:divBdr>
                    <w:top w:val="none" w:sz="0" w:space="0" w:color="auto"/>
                    <w:left w:val="none" w:sz="0" w:space="0" w:color="auto"/>
                    <w:bottom w:val="none" w:sz="0" w:space="0" w:color="auto"/>
                    <w:right w:val="none" w:sz="0" w:space="0" w:color="auto"/>
                  </w:divBdr>
                  <w:divsChild>
                    <w:div w:id="918556884">
                      <w:marLeft w:val="0"/>
                      <w:marRight w:val="0"/>
                      <w:marTop w:val="0"/>
                      <w:marBottom w:val="0"/>
                      <w:divBdr>
                        <w:top w:val="none" w:sz="0" w:space="0" w:color="auto"/>
                        <w:left w:val="none" w:sz="0" w:space="0" w:color="auto"/>
                        <w:bottom w:val="none" w:sz="0" w:space="0" w:color="auto"/>
                        <w:right w:val="none" w:sz="0" w:space="0" w:color="auto"/>
                      </w:divBdr>
                      <w:divsChild>
                        <w:div w:id="826938854">
                          <w:marLeft w:val="0"/>
                          <w:marRight w:val="0"/>
                          <w:marTop w:val="0"/>
                          <w:marBottom w:val="0"/>
                          <w:divBdr>
                            <w:top w:val="none" w:sz="0" w:space="0" w:color="auto"/>
                            <w:left w:val="none" w:sz="0" w:space="0" w:color="auto"/>
                            <w:bottom w:val="none" w:sz="0" w:space="0" w:color="auto"/>
                            <w:right w:val="none" w:sz="0" w:space="0" w:color="auto"/>
                          </w:divBdr>
                          <w:divsChild>
                            <w:div w:id="278611921">
                              <w:marLeft w:val="0"/>
                              <w:marRight w:val="0"/>
                              <w:marTop w:val="0"/>
                              <w:marBottom w:val="166"/>
                              <w:divBdr>
                                <w:top w:val="none" w:sz="0" w:space="0" w:color="auto"/>
                                <w:left w:val="none" w:sz="0" w:space="0" w:color="auto"/>
                                <w:bottom w:val="none" w:sz="0" w:space="0" w:color="auto"/>
                                <w:right w:val="none" w:sz="0" w:space="0" w:color="auto"/>
                              </w:divBdr>
                              <w:divsChild>
                                <w:div w:id="566576653">
                                  <w:marLeft w:val="0"/>
                                  <w:marRight w:val="0"/>
                                  <w:marTop w:val="0"/>
                                  <w:marBottom w:val="166"/>
                                  <w:divBdr>
                                    <w:top w:val="none" w:sz="0" w:space="0" w:color="auto"/>
                                    <w:left w:val="none" w:sz="0" w:space="0" w:color="auto"/>
                                    <w:bottom w:val="none" w:sz="0" w:space="0" w:color="auto"/>
                                    <w:right w:val="none" w:sz="0" w:space="0" w:color="auto"/>
                                  </w:divBdr>
                                  <w:divsChild>
                                    <w:div w:id="1237670459">
                                      <w:marLeft w:val="0"/>
                                      <w:marRight w:val="0"/>
                                      <w:marTop w:val="0"/>
                                      <w:marBottom w:val="0"/>
                                      <w:divBdr>
                                        <w:top w:val="none" w:sz="0" w:space="0" w:color="auto"/>
                                        <w:left w:val="none" w:sz="0" w:space="0" w:color="auto"/>
                                        <w:bottom w:val="none" w:sz="0" w:space="0" w:color="auto"/>
                                        <w:right w:val="none" w:sz="0" w:space="0" w:color="auto"/>
                                      </w:divBdr>
                                      <w:divsChild>
                                        <w:div w:id="258871656">
                                          <w:marLeft w:val="0"/>
                                          <w:marRight w:val="0"/>
                                          <w:marTop w:val="0"/>
                                          <w:marBottom w:val="0"/>
                                          <w:divBdr>
                                            <w:top w:val="none" w:sz="0" w:space="0" w:color="auto"/>
                                            <w:left w:val="none" w:sz="0" w:space="0" w:color="auto"/>
                                            <w:bottom w:val="none" w:sz="0" w:space="0" w:color="auto"/>
                                            <w:right w:val="none" w:sz="0" w:space="0" w:color="auto"/>
                                          </w:divBdr>
                                          <w:divsChild>
                                            <w:div w:id="926768004">
                                              <w:marLeft w:val="0"/>
                                              <w:marRight w:val="0"/>
                                              <w:marTop w:val="0"/>
                                              <w:marBottom w:val="0"/>
                                              <w:divBdr>
                                                <w:top w:val="none" w:sz="0" w:space="0" w:color="auto"/>
                                                <w:left w:val="none" w:sz="0" w:space="0" w:color="auto"/>
                                                <w:bottom w:val="none" w:sz="0" w:space="0" w:color="auto"/>
                                                <w:right w:val="none" w:sz="0" w:space="0" w:color="auto"/>
                                              </w:divBdr>
                                            </w:div>
                                            <w:div w:id="1729912635">
                                              <w:marLeft w:val="0"/>
                                              <w:marRight w:val="0"/>
                                              <w:marTop w:val="0"/>
                                              <w:marBottom w:val="0"/>
                                              <w:divBdr>
                                                <w:top w:val="none" w:sz="0" w:space="0" w:color="auto"/>
                                                <w:left w:val="none" w:sz="0" w:space="0" w:color="auto"/>
                                                <w:bottom w:val="none" w:sz="0" w:space="0" w:color="auto"/>
                                                <w:right w:val="none" w:sz="0" w:space="0" w:color="auto"/>
                                              </w:divBdr>
                                            </w:div>
                                            <w:div w:id="834228186">
                                              <w:marLeft w:val="240"/>
                                              <w:marRight w:val="0"/>
                                              <w:marTop w:val="0"/>
                                              <w:marBottom w:val="0"/>
                                              <w:divBdr>
                                                <w:top w:val="none" w:sz="0" w:space="0" w:color="auto"/>
                                                <w:left w:val="none" w:sz="0" w:space="0" w:color="auto"/>
                                                <w:bottom w:val="none" w:sz="0" w:space="0" w:color="auto"/>
                                                <w:right w:val="none" w:sz="0" w:space="0" w:color="auto"/>
                                              </w:divBdr>
                                              <w:divsChild>
                                                <w:div w:id="19927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55677">
                                          <w:marLeft w:val="0"/>
                                          <w:marRight w:val="0"/>
                                          <w:marTop w:val="0"/>
                                          <w:marBottom w:val="0"/>
                                          <w:divBdr>
                                            <w:top w:val="none" w:sz="0" w:space="0" w:color="auto"/>
                                            <w:left w:val="none" w:sz="0" w:space="0" w:color="auto"/>
                                            <w:bottom w:val="none" w:sz="0" w:space="0" w:color="auto"/>
                                            <w:right w:val="none" w:sz="0" w:space="0" w:color="auto"/>
                                          </w:divBdr>
                                          <w:divsChild>
                                            <w:div w:id="1077283605">
                                              <w:marLeft w:val="0"/>
                                              <w:marRight w:val="0"/>
                                              <w:marTop w:val="0"/>
                                              <w:marBottom w:val="0"/>
                                              <w:divBdr>
                                                <w:top w:val="none" w:sz="0" w:space="0" w:color="auto"/>
                                                <w:left w:val="none" w:sz="0" w:space="0" w:color="auto"/>
                                                <w:bottom w:val="none" w:sz="0" w:space="0" w:color="auto"/>
                                                <w:right w:val="none" w:sz="0" w:space="0" w:color="auto"/>
                                              </w:divBdr>
                                            </w:div>
                                            <w:div w:id="657733387">
                                              <w:marLeft w:val="0"/>
                                              <w:marRight w:val="0"/>
                                              <w:marTop w:val="0"/>
                                              <w:marBottom w:val="0"/>
                                              <w:divBdr>
                                                <w:top w:val="none" w:sz="0" w:space="0" w:color="auto"/>
                                                <w:left w:val="none" w:sz="0" w:space="0" w:color="auto"/>
                                                <w:bottom w:val="none" w:sz="0" w:space="0" w:color="auto"/>
                                                <w:right w:val="none" w:sz="0" w:space="0" w:color="auto"/>
                                              </w:divBdr>
                                            </w:div>
                                            <w:div w:id="123924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807010">
                                  <w:marLeft w:val="0"/>
                                  <w:marRight w:val="0"/>
                                  <w:marTop w:val="166"/>
                                  <w:marBottom w:val="166"/>
                                  <w:divBdr>
                                    <w:top w:val="none" w:sz="0" w:space="0" w:color="auto"/>
                                    <w:left w:val="none" w:sz="0" w:space="0" w:color="auto"/>
                                    <w:bottom w:val="none" w:sz="0" w:space="0" w:color="auto"/>
                                    <w:right w:val="none" w:sz="0" w:space="0" w:color="auto"/>
                                  </w:divBdr>
                                  <w:divsChild>
                                    <w:div w:id="1906262158">
                                      <w:marLeft w:val="0"/>
                                      <w:marRight w:val="0"/>
                                      <w:marTop w:val="0"/>
                                      <w:marBottom w:val="0"/>
                                      <w:divBdr>
                                        <w:top w:val="none" w:sz="0" w:space="0" w:color="auto"/>
                                        <w:left w:val="none" w:sz="0" w:space="0" w:color="auto"/>
                                        <w:bottom w:val="none" w:sz="0" w:space="0" w:color="auto"/>
                                        <w:right w:val="none" w:sz="0" w:space="0" w:color="auto"/>
                                      </w:divBdr>
                                    </w:div>
                                  </w:divsChild>
                                </w:div>
                                <w:div w:id="187106754">
                                  <w:marLeft w:val="0"/>
                                  <w:marRight w:val="0"/>
                                  <w:marTop w:val="166"/>
                                  <w:marBottom w:val="166"/>
                                  <w:divBdr>
                                    <w:top w:val="none" w:sz="0" w:space="0" w:color="auto"/>
                                    <w:left w:val="none" w:sz="0" w:space="0" w:color="auto"/>
                                    <w:bottom w:val="none" w:sz="0" w:space="0" w:color="auto"/>
                                    <w:right w:val="none" w:sz="0" w:space="0" w:color="auto"/>
                                  </w:divBdr>
                                  <w:divsChild>
                                    <w:div w:id="655649359">
                                      <w:marLeft w:val="0"/>
                                      <w:marRight w:val="0"/>
                                      <w:marTop w:val="0"/>
                                      <w:marBottom w:val="0"/>
                                      <w:divBdr>
                                        <w:top w:val="none" w:sz="0" w:space="0" w:color="auto"/>
                                        <w:left w:val="none" w:sz="0" w:space="0" w:color="auto"/>
                                        <w:bottom w:val="none" w:sz="0" w:space="0" w:color="auto"/>
                                        <w:right w:val="none" w:sz="0" w:space="0" w:color="auto"/>
                                      </w:divBdr>
                                    </w:div>
                                  </w:divsChild>
                                </w:div>
                                <w:div w:id="577177157">
                                  <w:marLeft w:val="0"/>
                                  <w:marRight w:val="0"/>
                                  <w:marTop w:val="332"/>
                                  <w:marBottom w:val="332"/>
                                  <w:divBdr>
                                    <w:top w:val="single" w:sz="6" w:space="5" w:color="EAC3AF"/>
                                    <w:left w:val="single" w:sz="6" w:space="8" w:color="EAC3AF"/>
                                    <w:bottom w:val="single" w:sz="6" w:space="5" w:color="EAC3AF"/>
                                    <w:right w:val="single" w:sz="6" w:space="8" w:color="EAC3AF"/>
                                  </w:divBdr>
                                  <w:divsChild>
                                    <w:div w:id="1087573407">
                                      <w:marLeft w:val="0"/>
                                      <w:marRight w:val="0"/>
                                      <w:marTop w:val="0"/>
                                      <w:marBottom w:val="0"/>
                                      <w:divBdr>
                                        <w:top w:val="none" w:sz="0" w:space="0" w:color="auto"/>
                                        <w:left w:val="none" w:sz="0" w:space="0" w:color="auto"/>
                                        <w:bottom w:val="none" w:sz="0" w:space="0" w:color="auto"/>
                                        <w:right w:val="none" w:sz="0" w:space="0" w:color="auto"/>
                                      </w:divBdr>
                                      <w:divsChild>
                                        <w:div w:id="1830445107">
                                          <w:marLeft w:val="0"/>
                                          <w:marRight w:val="0"/>
                                          <w:marTop w:val="0"/>
                                          <w:marBottom w:val="0"/>
                                          <w:divBdr>
                                            <w:top w:val="none" w:sz="0" w:space="0" w:color="auto"/>
                                            <w:left w:val="none" w:sz="0" w:space="0" w:color="auto"/>
                                            <w:bottom w:val="none" w:sz="0" w:space="0" w:color="auto"/>
                                            <w:right w:val="none" w:sz="0" w:space="0" w:color="auto"/>
                                          </w:divBdr>
                                        </w:div>
                                        <w:div w:id="59220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276954">
                              <w:marLeft w:val="0"/>
                              <w:marRight w:val="0"/>
                              <w:marTop w:val="0"/>
                              <w:marBottom w:val="0"/>
                              <w:divBdr>
                                <w:top w:val="none" w:sz="0" w:space="0" w:color="auto"/>
                                <w:left w:val="none" w:sz="0" w:space="0" w:color="auto"/>
                                <w:bottom w:val="none" w:sz="0" w:space="0" w:color="auto"/>
                                <w:right w:val="none" w:sz="0" w:space="0" w:color="auto"/>
                              </w:divBdr>
                              <w:divsChild>
                                <w:div w:id="771819515">
                                  <w:marLeft w:val="0"/>
                                  <w:marRight w:val="0"/>
                                  <w:marTop w:val="0"/>
                                  <w:marBottom w:val="0"/>
                                  <w:divBdr>
                                    <w:top w:val="none" w:sz="0" w:space="0" w:color="auto"/>
                                    <w:left w:val="none" w:sz="0" w:space="0" w:color="auto"/>
                                    <w:bottom w:val="none" w:sz="0" w:space="0" w:color="auto"/>
                                    <w:right w:val="none" w:sz="0" w:space="0" w:color="auto"/>
                                  </w:divBdr>
                                </w:div>
                                <w:div w:id="1020859718">
                                  <w:marLeft w:val="0"/>
                                  <w:marRight w:val="0"/>
                                  <w:marTop w:val="0"/>
                                  <w:marBottom w:val="0"/>
                                  <w:divBdr>
                                    <w:top w:val="none" w:sz="0" w:space="0" w:color="auto"/>
                                    <w:left w:val="none" w:sz="0" w:space="0" w:color="auto"/>
                                    <w:bottom w:val="none" w:sz="0" w:space="0" w:color="auto"/>
                                    <w:right w:val="none" w:sz="0" w:space="0" w:color="auto"/>
                                  </w:divBdr>
                                </w:div>
                              </w:divsChild>
                            </w:div>
                            <w:div w:id="903174177">
                              <w:marLeft w:val="0"/>
                              <w:marRight w:val="0"/>
                              <w:marTop w:val="0"/>
                              <w:marBottom w:val="0"/>
                              <w:divBdr>
                                <w:top w:val="none" w:sz="0" w:space="0" w:color="auto"/>
                                <w:left w:val="none" w:sz="0" w:space="0" w:color="auto"/>
                                <w:bottom w:val="none" w:sz="0" w:space="0" w:color="auto"/>
                                <w:right w:val="none" w:sz="0" w:space="0" w:color="auto"/>
                              </w:divBdr>
                              <w:divsChild>
                                <w:div w:id="1335842006">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1481658091">
                                      <w:marLeft w:val="0"/>
                                      <w:marRight w:val="0"/>
                                      <w:marTop w:val="0"/>
                                      <w:marBottom w:val="332"/>
                                      <w:divBdr>
                                        <w:top w:val="none" w:sz="0" w:space="0" w:color="auto"/>
                                        <w:left w:val="none" w:sz="0" w:space="0" w:color="auto"/>
                                        <w:bottom w:val="none" w:sz="0" w:space="0" w:color="auto"/>
                                        <w:right w:val="none" w:sz="0" w:space="0" w:color="auto"/>
                                      </w:divBdr>
                                    </w:div>
                                    <w:div w:id="1921939446">
                                      <w:marLeft w:val="0"/>
                                      <w:marRight w:val="0"/>
                                      <w:marTop w:val="0"/>
                                      <w:marBottom w:val="0"/>
                                      <w:divBdr>
                                        <w:top w:val="none" w:sz="0" w:space="0" w:color="auto"/>
                                        <w:left w:val="none" w:sz="0" w:space="0" w:color="auto"/>
                                        <w:bottom w:val="none" w:sz="0" w:space="0" w:color="auto"/>
                                        <w:right w:val="none" w:sz="0" w:space="0" w:color="auto"/>
                                      </w:divBdr>
                                      <w:divsChild>
                                        <w:div w:id="447239205">
                                          <w:marLeft w:val="0"/>
                                          <w:marRight w:val="0"/>
                                          <w:marTop w:val="0"/>
                                          <w:marBottom w:val="0"/>
                                          <w:divBdr>
                                            <w:top w:val="none" w:sz="0" w:space="0" w:color="auto"/>
                                            <w:left w:val="none" w:sz="0" w:space="0" w:color="auto"/>
                                            <w:bottom w:val="none" w:sz="0" w:space="0" w:color="auto"/>
                                            <w:right w:val="none" w:sz="0" w:space="0" w:color="auto"/>
                                          </w:divBdr>
                                        </w:div>
                                        <w:div w:id="101715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63087">
                              <w:marLeft w:val="0"/>
                              <w:marRight w:val="0"/>
                              <w:marTop w:val="0"/>
                              <w:marBottom w:val="0"/>
                              <w:divBdr>
                                <w:top w:val="none" w:sz="0" w:space="0" w:color="auto"/>
                                <w:left w:val="none" w:sz="0" w:space="0" w:color="auto"/>
                                <w:bottom w:val="none" w:sz="0" w:space="0" w:color="auto"/>
                                <w:right w:val="none" w:sz="0" w:space="0" w:color="auto"/>
                              </w:divBdr>
                              <w:divsChild>
                                <w:div w:id="1339500991">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900020314">
                                      <w:marLeft w:val="0"/>
                                      <w:marRight w:val="0"/>
                                      <w:marTop w:val="0"/>
                                      <w:marBottom w:val="332"/>
                                      <w:divBdr>
                                        <w:top w:val="none" w:sz="0" w:space="0" w:color="auto"/>
                                        <w:left w:val="none" w:sz="0" w:space="0" w:color="auto"/>
                                        <w:bottom w:val="none" w:sz="0" w:space="0" w:color="auto"/>
                                        <w:right w:val="none" w:sz="0" w:space="0" w:color="auto"/>
                                      </w:divBdr>
                                    </w:div>
                                    <w:div w:id="969164490">
                                      <w:marLeft w:val="0"/>
                                      <w:marRight w:val="0"/>
                                      <w:marTop w:val="0"/>
                                      <w:marBottom w:val="0"/>
                                      <w:divBdr>
                                        <w:top w:val="none" w:sz="0" w:space="0" w:color="auto"/>
                                        <w:left w:val="none" w:sz="0" w:space="0" w:color="auto"/>
                                        <w:bottom w:val="none" w:sz="0" w:space="0" w:color="auto"/>
                                        <w:right w:val="none" w:sz="0" w:space="0" w:color="auto"/>
                                      </w:divBdr>
                                      <w:divsChild>
                                        <w:div w:id="1620188057">
                                          <w:marLeft w:val="0"/>
                                          <w:marRight w:val="0"/>
                                          <w:marTop w:val="0"/>
                                          <w:marBottom w:val="0"/>
                                          <w:divBdr>
                                            <w:top w:val="none" w:sz="0" w:space="0" w:color="auto"/>
                                            <w:left w:val="none" w:sz="0" w:space="0" w:color="auto"/>
                                            <w:bottom w:val="none" w:sz="0" w:space="0" w:color="auto"/>
                                            <w:right w:val="none" w:sz="0" w:space="0" w:color="auto"/>
                                          </w:divBdr>
                                        </w:div>
                                        <w:div w:id="154895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13557">
                              <w:marLeft w:val="0"/>
                              <w:marRight w:val="0"/>
                              <w:marTop w:val="0"/>
                              <w:marBottom w:val="0"/>
                              <w:divBdr>
                                <w:top w:val="none" w:sz="0" w:space="0" w:color="auto"/>
                                <w:left w:val="none" w:sz="0" w:space="0" w:color="auto"/>
                                <w:bottom w:val="none" w:sz="0" w:space="0" w:color="auto"/>
                                <w:right w:val="none" w:sz="0" w:space="0" w:color="auto"/>
                              </w:divBdr>
                            </w:div>
                            <w:div w:id="1214389612">
                              <w:marLeft w:val="0"/>
                              <w:marRight w:val="0"/>
                              <w:marTop w:val="0"/>
                              <w:marBottom w:val="0"/>
                              <w:divBdr>
                                <w:top w:val="none" w:sz="0" w:space="0" w:color="auto"/>
                                <w:left w:val="none" w:sz="0" w:space="0" w:color="auto"/>
                                <w:bottom w:val="none" w:sz="0" w:space="0" w:color="auto"/>
                                <w:right w:val="none" w:sz="0" w:space="0" w:color="auto"/>
                              </w:divBdr>
                              <w:divsChild>
                                <w:div w:id="1898663744">
                                  <w:marLeft w:val="0"/>
                                  <w:marRight w:val="0"/>
                                  <w:marTop w:val="0"/>
                                  <w:marBottom w:val="0"/>
                                  <w:divBdr>
                                    <w:top w:val="none" w:sz="0" w:space="0" w:color="auto"/>
                                    <w:left w:val="none" w:sz="0" w:space="0" w:color="auto"/>
                                    <w:bottom w:val="none" w:sz="0" w:space="0" w:color="auto"/>
                                    <w:right w:val="none" w:sz="0" w:space="0" w:color="auto"/>
                                  </w:divBdr>
                                  <w:divsChild>
                                    <w:div w:id="668948722">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1230531789">
                                          <w:marLeft w:val="0"/>
                                          <w:marRight w:val="0"/>
                                          <w:marTop w:val="0"/>
                                          <w:marBottom w:val="332"/>
                                          <w:divBdr>
                                            <w:top w:val="none" w:sz="0" w:space="0" w:color="auto"/>
                                            <w:left w:val="none" w:sz="0" w:space="0" w:color="auto"/>
                                            <w:bottom w:val="none" w:sz="0" w:space="0" w:color="auto"/>
                                            <w:right w:val="none" w:sz="0" w:space="0" w:color="auto"/>
                                          </w:divBdr>
                                        </w:div>
                                        <w:div w:id="2045907897">
                                          <w:marLeft w:val="0"/>
                                          <w:marRight w:val="0"/>
                                          <w:marTop w:val="0"/>
                                          <w:marBottom w:val="0"/>
                                          <w:divBdr>
                                            <w:top w:val="none" w:sz="0" w:space="0" w:color="auto"/>
                                            <w:left w:val="none" w:sz="0" w:space="0" w:color="auto"/>
                                            <w:bottom w:val="none" w:sz="0" w:space="0" w:color="auto"/>
                                            <w:right w:val="none" w:sz="0" w:space="0" w:color="auto"/>
                                          </w:divBdr>
                                          <w:divsChild>
                                            <w:div w:id="795835700">
                                              <w:marLeft w:val="0"/>
                                              <w:marRight w:val="0"/>
                                              <w:marTop w:val="0"/>
                                              <w:marBottom w:val="0"/>
                                              <w:divBdr>
                                                <w:top w:val="none" w:sz="0" w:space="0" w:color="auto"/>
                                                <w:left w:val="none" w:sz="0" w:space="0" w:color="auto"/>
                                                <w:bottom w:val="none" w:sz="0" w:space="0" w:color="auto"/>
                                                <w:right w:val="none" w:sz="0" w:space="0" w:color="auto"/>
                                              </w:divBdr>
                                            </w:div>
                                            <w:div w:id="14469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70493">
                                  <w:marLeft w:val="0"/>
                                  <w:marRight w:val="0"/>
                                  <w:marTop w:val="0"/>
                                  <w:marBottom w:val="0"/>
                                  <w:divBdr>
                                    <w:top w:val="none" w:sz="0" w:space="0" w:color="auto"/>
                                    <w:left w:val="none" w:sz="0" w:space="0" w:color="auto"/>
                                    <w:bottom w:val="none" w:sz="0" w:space="0" w:color="auto"/>
                                    <w:right w:val="none" w:sz="0" w:space="0" w:color="auto"/>
                                  </w:divBdr>
                                  <w:divsChild>
                                    <w:div w:id="433792773">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1465462745">
                                          <w:marLeft w:val="0"/>
                                          <w:marRight w:val="0"/>
                                          <w:marTop w:val="0"/>
                                          <w:marBottom w:val="332"/>
                                          <w:divBdr>
                                            <w:top w:val="none" w:sz="0" w:space="0" w:color="auto"/>
                                            <w:left w:val="none" w:sz="0" w:space="0" w:color="auto"/>
                                            <w:bottom w:val="none" w:sz="0" w:space="0" w:color="auto"/>
                                            <w:right w:val="none" w:sz="0" w:space="0" w:color="auto"/>
                                          </w:divBdr>
                                        </w:div>
                                        <w:div w:id="23558657">
                                          <w:marLeft w:val="0"/>
                                          <w:marRight w:val="0"/>
                                          <w:marTop w:val="0"/>
                                          <w:marBottom w:val="0"/>
                                          <w:divBdr>
                                            <w:top w:val="none" w:sz="0" w:space="0" w:color="auto"/>
                                            <w:left w:val="none" w:sz="0" w:space="0" w:color="auto"/>
                                            <w:bottom w:val="none" w:sz="0" w:space="0" w:color="auto"/>
                                            <w:right w:val="none" w:sz="0" w:space="0" w:color="auto"/>
                                          </w:divBdr>
                                          <w:divsChild>
                                            <w:div w:id="884176709">
                                              <w:marLeft w:val="0"/>
                                              <w:marRight w:val="0"/>
                                              <w:marTop w:val="0"/>
                                              <w:marBottom w:val="0"/>
                                              <w:divBdr>
                                                <w:top w:val="none" w:sz="0" w:space="0" w:color="auto"/>
                                                <w:left w:val="none" w:sz="0" w:space="0" w:color="auto"/>
                                                <w:bottom w:val="none" w:sz="0" w:space="0" w:color="auto"/>
                                                <w:right w:val="none" w:sz="0" w:space="0" w:color="auto"/>
                                              </w:divBdr>
                                            </w:div>
                                            <w:div w:id="122463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200855">
                                  <w:marLeft w:val="0"/>
                                  <w:marRight w:val="0"/>
                                  <w:marTop w:val="0"/>
                                  <w:marBottom w:val="0"/>
                                  <w:divBdr>
                                    <w:top w:val="none" w:sz="0" w:space="0" w:color="auto"/>
                                    <w:left w:val="none" w:sz="0" w:space="0" w:color="auto"/>
                                    <w:bottom w:val="none" w:sz="0" w:space="0" w:color="auto"/>
                                    <w:right w:val="none" w:sz="0" w:space="0" w:color="auto"/>
                                  </w:divBdr>
                                </w:div>
                                <w:div w:id="695421744">
                                  <w:marLeft w:val="0"/>
                                  <w:marRight w:val="0"/>
                                  <w:marTop w:val="0"/>
                                  <w:marBottom w:val="0"/>
                                  <w:divBdr>
                                    <w:top w:val="none" w:sz="0" w:space="0" w:color="auto"/>
                                    <w:left w:val="none" w:sz="0" w:space="0" w:color="auto"/>
                                    <w:bottom w:val="none" w:sz="0" w:space="0" w:color="auto"/>
                                    <w:right w:val="none" w:sz="0" w:space="0" w:color="auto"/>
                                  </w:divBdr>
                                </w:div>
                                <w:div w:id="1998143274">
                                  <w:marLeft w:val="0"/>
                                  <w:marRight w:val="0"/>
                                  <w:marTop w:val="0"/>
                                  <w:marBottom w:val="0"/>
                                  <w:divBdr>
                                    <w:top w:val="none" w:sz="0" w:space="0" w:color="auto"/>
                                    <w:left w:val="none" w:sz="0" w:space="0" w:color="auto"/>
                                    <w:bottom w:val="none" w:sz="0" w:space="0" w:color="auto"/>
                                    <w:right w:val="none" w:sz="0" w:space="0" w:color="auto"/>
                                  </w:divBdr>
                                  <w:divsChild>
                                    <w:div w:id="103810885">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588200897">
                                          <w:marLeft w:val="0"/>
                                          <w:marRight w:val="0"/>
                                          <w:marTop w:val="0"/>
                                          <w:marBottom w:val="332"/>
                                          <w:divBdr>
                                            <w:top w:val="none" w:sz="0" w:space="0" w:color="auto"/>
                                            <w:left w:val="none" w:sz="0" w:space="0" w:color="auto"/>
                                            <w:bottom w:val="none" w:sz="0" w:space="0" w:color="auto"/>
                                            <w:right w:val="none" w:sz="0" w:space="0" w:color="auto"/>
                                          </w:divBdr>
                                        </w:div>
                                        <w:div w:id="1146046175">
                                          <w:marLeft w:val="0"/>
                                          <w:marRight w:val="0"/>
                                          <w:marTop w:val="0"/>
                                          <w:marBottom w:val="0"/>
                                          <w:divBdr>
                                            <w:top w:val="none" w:sz="0" w:space="0" w:color="auto"/>
                                            <w:left w:val="none" w:sz="0" w:space="0" w:color="auto"/>
                                            <w:bottom w:val="none" w:sz="0" w:space="0" w:color="auto"/>
                                            <w:right w:val="none" w:sz="0" w:space="0" w:color="auto"/>
                                          </w:divBdr>
                                          <w:divsChild>
                                            <w:div w:id="41946076">
                                              <w:marLeft w:val="0"/>
                                              <w:marRight w:val="0"/>
                                              <w:marTop w:val="0"/>
                                              <w:marBottom w:val="0"/>
                                              <w:divBdr>
                                                <w:top w:val="none" w:sz="0" w:space="0" w:color="auto"/>
                                                <w:left w:val="none" w:sz="0" w:space="0" w:color="auto"/>
                                                <w:bottom w:val="none" w:sz="0" w:space="0" w:color="auto"/>
                                                <w:right w:val="none" w:sz="0" w:space="0" w:color="auto"/>
                                              </w:divBdr>
                                            </w:div>
                                            <w:div w:id="207627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32748">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1645085397">
                                          <w:marLeft w:val="0"/>
                                          <w:marRight w:val="0"/>
                                          <w:marTop w:val="0"/>
                                          <w:marBottom w:val="0"/>
                                          <w:divBdr>
                                            <w:top w:val="none" w:sz="0" w:space="0" w:color="auto"/>
                                            <w:left w:val="none" w:sz="0" w:space="0" w:color="auto"/>
                                            <w:bottom w:val="none" w:sz="0" w:space="0" w:color="auto"/>
                                            <w:right w:val="none" w:sz="0" w:space="0" w:color="auto"/>
                                          </w:divBdr>
                                        </w:div>
                                        <w:div w:id="10461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85138">
                              <w:marLeft w:val="0"/>
                              <w:marRight w:val="0"/>
                              <w:marTop w:val="0"/>
                              <w:marBottom w:val="0"/>
                              <w:divBdr>
                                <w:top w:val="none" w:sz="0" w:space="0" w:color="auto"/>
                                <w:left w:val="none" w:sz="0" w:space="0" w:color="auto"/>
                                <w:bottom w:val="none" w:sz="0" w:space="0" w:color="auto"/>
                                <w:right w:val="none" w:sz="0" w:space="0" w:color="auto"/>
                              </w:divBdr>
                            </w:div>
                            <w:div w:id="1642612805">
                              <w:marLeft w:val="0"/>
                              <w:marRight w:val="0"/>
                              <w:marTop w:val="0"/>
                              <w:marBottom w:val="0"/>
                              <w:divBdr>
                                <w:top w:val="none" w:sz="0" w:space="0" w:color="auto"/>
                                <w:left w:val="none" w:sz="0" w:space="0" w:color="auto"/>
                                <w:bottom w:val="none" w:sz="0" w:space="0" w:color="auto"/>
                                <w:right w:val="none" w:sz="0" w:space="0" w:color="auto"/>
                              </w:divBdr>
                            </w:div>
                            <w:div w:id="697511838">
                              <w:marLeft w:val="0"/>
                              <w:marRight w:val="0"/>
                              <w:marTop w:val="0"/>
                              <w:marBottom w:val="0"/>
                              <w:divBdr>
                                <w:top w:val="none" w:sz="0" w:space="0" w:color="auto"/>
                                <w:left w:val="none" w:sz="0" w:space="0" w:color="auto"/>
                                <w:bottom w:val="none" w:sz="0" w:space="0" w:color="auto"/>
                                <w:right w:val="none" w:sz="0" w:space="0" w:color="auto"/>
                              </w:divBdr>
                            </w:div>
                            <w:div w:id="731268989">
                              <w:marLeft w:val="0"/>
                              <w:marRight w:val="0"/>
                              <w:marTop w:val="0"/>
                              <w:marBottom w:val="0"/>
                              <w:divBdr>
                                <w:top w:val="none" w:sz="0" w:space="0" w:color="auto"/>
                                <w:left w:val="none" w:sz="0" w:space="0" w:color="auto"/>
                                <w:bottom w:val="none" w:sz="0" w:space="0" w:color="auto"/>
                                <w:right w:val="none" w:sz="0" w:space="0" w:color="auto"/>
                              </w:divBdr>
                              <w:divsChild>
                                <w:div w:id="1722363468">
                                  <w:marLeft w:val="0"/>
                                  <w:marRight w:val="0"/>
                                  <w:marTop w:val="166"/>
                                  <w:marBottom w:val="166"/>
                                  <w:divBdr>
                                    <w:top w:val="none" w:sz="0" w:space="0" w:color="auto"/>
                                    <w:left w:val="none" w:sz="0" w:space="0" w:color="auto"/>
                                    <w:bottom w:val="none" w:sz="0" w:space="0" w:color="auto"/>
                                    <w:right w:val="none" w:sz="0" w:space="0" w:color="auto"/>
                                  </w:divBdr>
                                </w:div>
                              </w:divsChild>
                            </w:div>
                            <w:div w:id="698166293">
                              <w:marLeft w:val="0"/>
                              <w:marRight w:val="0"/>
                              <w:marTop w:val="0"/>
                              <w:marBottom w:val="0"/>
                              <w:divBdr>
                                <w:top w:val="none" w:sz="0" w:space="0" w:color="auto"/>
                                <w:left w:val="none" w:sz="0" w:space="0" w:color="auto"/>
                                <w:bottom w:val="none" w:sz="0" w:space="0" w:color="auto"/>
                                <w:right w:val="none" w:sz="0" w:space="0" w:color="auto"/>
                              </w:divBdr>
                              <w:divsChild>
                                <w:div w:id="1512259673">
                                  <w:marLeft w:val="0"/>
                                  <w:marRight w:val="0"/>
                                  <w:marTop w:val="0"/>
                                  <w:marBottom w:val="0"/>
                                  <w:divBdr>
                                    <w:top w:val="none" w:sz="0" w:space="0" w:color="auto"/>
                                    <w:left w:val="none" w:sz="0" w:space="0" w:color="auto"/>
                                    <w:bottom w:val="none" w:sz="0" w:space="0" w:color="auto"/>
                                    <w:right w:val="none" w:sz="0" w:space="0" w:color="auto"/>
                                  </w:divBdr>
                                  <w:divsChild>
                                    <w:div w:id="559829322">
                                      <w:marLeft w:val="0"/>
                                      <w:marRight w:val="0"/>
                                      <w:marTop w:val="166"/>
                                      <w:marBottom w:val="166"/>
                                      <w:divBdr>
                                        <w:top w:val="none" w:sz="0" w:space="0" w:color="auto"/>
                                        <w:left w:val="none" w:sz="0" w:space="0" w:color="auto"/>
                                        <w:bottom w:val="none" w:sz="0" w:space="0" w:color="auto"/>
                                        <w:right w:val="none" w:sz="0" w:space="0" w:color="auto"/>
                                      </w:divBdr>
                                    </w:div>
                                    <w:div w:id="491920297">
                                      <w:marLeft w:val="0"/>
                                      <w:marRight w:val="0"/>
                                      <w:marTop w:val="166"/>
                                      <w:marBottom w:val="166"/>
                                      <w:divBdr>
                                        <w:top w:val="none" w:sz="0" w:space="0" w:color="auto"/>
                                        <w:left w:val="none" w:sz="0" w:space="0" w:color="auto"/>
                                        <w:bottom w:val="none" w:sz="0" w:space="0" w:color="auto"/>
                                        <w:right w:val="none" w:sz="0" w:space="0" w:color="auto"/>
                                      </w:divBdr>
                                    </w:div>
                                    <w:div w:id="797533034">
                                      <w:marLeft w:val="0"/>
                                      <w:marRight w:val="0"/>
                                      <w:marTop w:val="166"/>
                                      <w:marBottom w:val="166"/>
                                      <w:divBdr>
                                        <w:top w:val="none" w:sz="0" w:space="0" w:color="auto"/>
                                        <w:left w:val="none" w:sz="0" w:space="0" w:color="auto"/>
                                        <w:bottom w:val="none" w:sz="0" w:space="0" w:color="auto"/>
                                        <w:right w:val="none" w:sz="0" w:space="0" w:color="auto"/>
                                      </w:divBdr>
                                    </w:div>
                                    <w:div w:id="1846632171">
                                      <w:marLeft w:val="0"/>
                                      <w:marRight w:val="0"/>
                                      <w:marTop w:val="166"/>
                                      <w:marBottom w:val="166"/>
                                      <w:divBdr>
                                        <w:top w:val="none" w:sz="0" w:space="0" w:color="auto"/>
                                        <w:left w:val="none" w:sz="0" w:space="0" w:color="auto"/>
                                        <w:bottom w:val="none" w:sz="0" w:space="0" w:color="auto"/>
                                        <w:right w:val="none" w:sz="0" w:space="0" w:color="auto"/>
                                      </w:divBdr>
                                    </w:div>
                                    <w:div w:id="2027713546">
                                      <w:marLeft w:val="0"/>
                                      <w:marRight w:val="0"/>
                                      <w:marTop w:val="166"/>
                                      <w:marBottom w:val="166"/>
                                      <w:divBdr>
                                        <w:top w:val="none" w:sz="0" w:space="0" w:color="auto"/>
                                        <w:left w:val="none" w:sz="0" w:space="0" w:color="auto"/>
                                        <w:bottom w:val="none" w:sz="0" w:space="0" w:color="auto"/>
                                        <w:right w:val="none" w:sz="0" w:space="0" w:color="auto"/>
                                      </w:divBdr>
                                    </w:div>
                                    <w:div w:id="1382439077">
                                      <w:marLeft w:val="0"/>
                                      <w:marRight w:val="0"/>
                                      <w:marTop w:val="166"/>
                                      <w:marBottom w:val="166"/>
                                      <w:divBdr>
                                        <w:top w:val="none" w:sz="0" w:space="0" w:color="auto"/>
                                        <w:left w:val="none" w:sz="0" w:space="0" w:color="auto"/>
                                        <w:bottom w:val="none" w:sz="0" w:space="0" w:color="auto"/>
                                        <w:right w:val="none" w:sz="0" w:space="0" w:color="auto"/>
                                      </w:divBdr>
                                    </w:div>
                                    <w:div w:id="1678382219">
                                      <w:marLeft w:val="0"/>
                                      <w:marRight w:val="0"/>
                                      <w:marTop w:val="166"/>
                                      <w:marBottom w:val="166"/>
                                      <w:divBdr>
                                        <w:top w:val="none" w:sz="0" w:space="0" w:color="auto"/>
                                        <w:left w:val="none" w:sz="0" w:space="0" w:color="auto"/>
                                        <w:bottom w:val="none" w:sz="0" w:space="0" w:color="auto"/>
                                        <w:right w:val="none" w:sz="0" w:space="0" w:color="auto"/>
                                      </w:divBdr>
                                    </w:div>
                                    <w:div w:id="647368119">
                                      <w:marLeft w:val="0"/>
                                      <w:marRight w:val="0"/>
                                      <w:marTop w:val="166"/>
                                      <w:marBottom w:val="166"/>
                                      <w:divBdr>
                                        <w:top w:val="none" w:sz="0" w:space="0" w:color="auto"/>
                                        <w:left w:val="none" w:sz="0" w:space="0" w:color="auto"/>
                                        <w:bottom w:val="none" w:sz="0" w:space="0" w:color="auto"/>
                                        <w:right w:val="none" w:sz="0" w:space="0" w:color="auto"/>
                                      </w:divBdr>
                                    </w:div>
                                    <w:div w:id="724181315">
                                      <w:marLeft w:val="0"/>
                                      <w:marRight w:val="0"/>
                                      <w:marTop w:val="166"/>
                                      <w:marBottom w:val="166"/>
                                      <w:divBdr>
                                        <w:top w:val="none" w:sz="0" w:space="0" w:color="auto"/>
                                        <w:left w:val="none" w:sz="0" w:space="0" w:color="auto"/>
                                        <w:bottom w:val="none" w:sz="0" w:space="0" w:color="auto"/>
                                        <w:right w:val="none" w:sz="0" w:space="0" w:color="auto"/>
                                      </w:divBdr>
                                    </w:div>
                                    <w:div w:id="689335355">
                                      <w:marLeft w:val="0"/>
                                      <w:marRight w:val="0"/>
                                      <w:marTop w:val="166"/>
                                      <w:marBottom w:val="166"/>
                                      <w:divBdr>
                                        <w:top w:val="none" w:sz="0" w:space="0" w:color="auto"/>
                                        <w:left w:val="none" w:sz="0" w:space="0" w:color="auto"/>
                                        <w:bottom w:val="none" w:sz="0" w:space="0" w:color="auto"/>
                                        <w:right w:val="none" w:sz="0" w:space="0" w:color="auto"/>
                                      </w:divBdr>
                                    </w:div>
                                    <w:div w:id="898126914">
                                      <w:marLeft w:val="0"/>
                                      <w:marRight w:val="0"/>
                                      <w:marTop w:val="166"/>
                                      <w:marBottom w:val="166"/>
                                      <w:divBdr>
                                        <w:top w:val="none" w:sz="0" w:space="0" w:color="auto"/>
                                        <w:left w:val="none" w:sz="0" w:space="0" w:color="auto"/>
                                        <w:bottom w:val="none" w:sz="0" w:space="0" w:color="auto"/>
                                        <w:right w:val="none" w:sz="0" w:space="0" w:color="auto"/>
                                      </w:divBdr>
                                    </w:div>
                                    <w:div w:id="61761960">
                                      <w:marLeft w:val="0"/>
                                      <w:marRight w:val="0"/>
                                      <w:marTop w:val="166"/>
                                      <w:marBottom w:val="166"/>
                                      <w:divBdr>
                                        <w:top w:val="none" w:sz="0" w:space="0" w:color="auto"/>
                                        <w:left w:val="none" w:sz="0" w:space="0" w:color="auto"/>
                                        <w:bottom w:val="none" w:sz="0" w:space="0" w:color="auto"/>
                                        <w:right w:val="none" w:sz="0" w:space="0" w:color="auto"/>
                                      </w:divBdr>
                                    </w:div>
                                    <w:div w:id="2061204915">
                                      <w:marLeft w:val="0"/>
                                      <w:marRight w:val="0"/>
                                      <w:marTop w:val="166"/>
                                      <w:marBottom w:val="166"/>
                                      <w:divBdr>
                                        <w:top w:val="none" w:sz="0" w:space="0" w:color="auto"/>
                                        <w:left w:val="none" w:sz="0" w:space="0" w:color="auto"/>
                                        <w:bottom w:val="none" w:sz="0" w:space="0" w:color="auto"/>
                                        <w:right w:val="none" w:sz="0" w:space="0" w:color="auto"/>
                                      </w:divBdr>
                                    </w:div>
                                    <w:div w:id="1647467513">
                                      <w:marLeft w:val="0"/>
                                      <w:marRight w:val="0"/>
                                      <w:marTop w:val="166"/>
                                      <w:marBottom w:val="166"/>
                                      <w:divBdr>
                                        <w:top w:val="none" w:sz="0" w:space="0" w:color="auto"/>
                                        <w:left w:val="none" w:sz="0" w:space="0" w:color="auto"/>
                                        <w:bottom w:val="none" w:sz="0" w:space="0" w:color="auto"/>
                                        <w:right w:val="none" w:sz="0" w:space="0" w:color="auto"/>
                                      </w:divBdr>
                                    </w:div>
                                    <w:div w:id="291836658">
                                      <w:marLeft w:val="0"/>
                                      <w:marRight w:val="0"/>
                                      <w:marTop w:val="166"/>
                                      <w:marBottom w:val="166"/>
                                      <w:divBdr>
                                        <w:top w:val="none" w:sz="0" w:space="0" w:color="auto"/>
                                        <w:left w:val="none" w:sz="0" w:space="0" w:color="auto"/>
                                        <w:bottom w:val="none" w:sz="0" w:space="0" w:color="auto"/>
                                        <w:right w:val="none" w:sz="0" w:space="0" w:color="auto"/>
                                      </w:divBdr>
                                    </w:div>
                                    <w:div w:id="1325011358">
                                      <w:marLeft w:val="0"/>
                                      <w:marRight w:val="0"/>
                                      <w:marTop w:val="166"/>
                                      <w:marBottom w:val="166"/>
                                      <w:divBdr>
                                        <w:top w:val="none" w:sz="0" w:space="0" w:color="auto"/>
                                        <w:left w:val="none" w:sz="0" w:space="0" w:color="auto"/>
                                        <w:bottom w:val="none" w:sz="0" w:space="0" w:color="auto"/>
                                        <w:right w:val="none" w:sz="0" w:space="0" w:color="auto"/>
                                      </w:divBdr>
                                    </w:div>
                                    <w:div w:id="1749381995">
                                      <w:marLeft w:val="0"/>
                                      <w:marRight w:val="0"/>
                                      <w:marTop w:val="166"/>
                                      <w:marBottom w:val="166"/>
                                      <w:divBdr>
                                        <w:top w:val="none" w:sz="0" w:space="0" w:color="auto"/>
                                        <w:left w:val="none" w:sz="0" w:space="0" w:color="auto"/>
                                        <w:bottom w:val="none" w:sz="0" w:space="0" w:color="auto"/>
                                        <w:right w:val="none" w:sz="0" w:space="0" w:color="auto"/>
                                      </w:divBdr>
                                    </w:div>
                                    <w:div w:id="1901940574">
                                      <w:marLeft w:val="0"/>
                                      <w:marRight w:val="0"/>
                                      <w:marTop w:val="166"/>
                                      <w:marBottom w:val="166"/>
                                      <w:divBdr>
                                        <w:top w:val="none" w:sz="0" w:space="0" w:color="auto"/>
                                        <w:left w:val="none" w:sz="0" w:space="0" w:color="auto"/>
                                        <w:bottom w:val="none" w:sz="0" w:space="0" w:color="auto"/>
                                        <w:right w:val="none" w:sz="0" w:space="0" w:color="auto"/>
                                      </w:divBdr>
                                    </w:div>
                                    <w:div w:id="1888956721">
                                      <w:marLeft w:val="0"/>
                                      <w:marRight w:val="0"/>
                                      <w:marTop w:val="166"/>
                                      <w:marBottom w:val="166"/>
                                      <w:divBdr>
                                        <w:top w:val="none" w:sz="0" w:space="0" w:color="auto"/>
                                        <w:left w:val="none" w:sz="0" w:space="0" w:color="auto"/>
                                        <w:bottom w:val="none" w:sz="0" w:space="0" w:color="auto"/>
                                        <w:right w:val="none" w:sz="0" w:space="0" w:color="auto"/>
                                      </w:divBdr>
                                    </w:div>
                                    <w:div w:id="838618492">
                                      <w:marLeft w:val="0"/>
                                      <w:marRight w:val="0"/>
                                      <w:marTop w:val="166"/>
                                      <w:marBottom w:val="166"/>
                                      <w:divBdr>
                                        <w:top w:val="none" w:sz="0" w:space="0" w:color="auto"/>
                                        <w:left w:val="none" w:sz="0" w:space="0" w:color="auto"/>
                                        <w:bottom w:val="none" w:sz="0" w:space="0" w:color="auto"/>
                                        <w:right w:val="none" w:sz="0" w:space="0" w:color="auto"/>
                                      </w:divBdr>
                                    </w:div>
                                    <w:div w:id="606890874">
                                      <w:marLeft w:val="0"/>
                                      <w:marRight w:val="0"/>
                                      <w:marTop w:val="166"/>
                                      <w:marBottom w:val="166"/>
                                      <w:divBdr>
                                        <w:top w:val="none" w:sz="0" w:space="0" w:color="auto"/>
                                        <w:left w:val="none" w:sz="0" w:space="0" w:color="auto"/>
                                        <w:bottom w:val="none" w:sz="0" w:space="0" w:color="auto"/>
                                        <w:right w:val="none" w:sz="0" w:space="0" w:color="auto"/>
                                      </w:divBdr>
                                    </w:div>
                                    <w:div w:id="1566143112">
                                      <w:marLeft w:val="0"/>
                                      <w:marRight w:val="0"/>
                                      <w:marTop w:val="166"/>
                                      <w:marBottom w:val="166"/>
                                      <w:divBdr>
                                        <w:top w:val="none" w:sz="0" w:space="0" w:color="auto"/>
                                        <w:left w:val="none" w:sz="0" w:space="0" w:color="auto"/>
                                        <w:bottom w:val="none" w:sz="0" w:space="0" w:color="auto"/>
                                        <w:right w:val="none" w:sz="0" w:space="0" w:color="auto"/>
                                      </w:divBdr>
                                    </w:div>
                                    <w:div w:id="1952735964">
                                      <w:marLeft w:val="0"/>
                                      <w:marRight w:val="0"/>
                                      <w:marTop w:val="166"/>
                                      <w:marBottom w:val="166"/>
                                      <w:divBdr>
                                        <w:top w:val="none" w:sz="0" w:space="0" w:color="auto"/>
                                        <w:left w:val="none" w:sz="0" w:space="0" w:color="auto"/>
                                        <w:bottom w:val="none" w:sz="0" w:space="0" w:color="auto"/>
                                        <w:right w:val="none" w:sz="0" w:space="0" w:color="auto"/>
                                      </w:divBdr>
                                    </w:div>
                                    <w:div w:id="971255930">
                                      <w:marLeft w:val="0"/>
                                      <w:marRight w:val="0"/>
                                      <w:marTop w:val="166"/>
                                      <w:marBottom w:val="166"/>
                                      <w:divBdr>
                                        <w:top w:val="none" w:sz="0" w:space="0" w:color="auto"/>
                                        <w:left w:val="none" w:sz="0" w:space="0" w:color="auto"/>
                                        <w:bottom w:val="none" w:sz="0" w:space="0" w:color="auto"/>
                                        <w:right w:val="none" w:sz="0" w:space="0" w:color="auto"/>
                                      </w:divBdr>
                                    </w:div>
                                    <w:div w:id="1292512326">
                                      <w:marLeft w:val="0"/>
                                      <w:marRight w:val="0"/>
                                      <w:marTop w:val="166"/>
                                      <w:marBottom w:val="166"/>
                                      <w:divBdr>
                                        <w:top w:val="none" w:sz="0" w:space="0" w:color="auto"/>
                                        <w:left w:val="none" w:sz="0" w:space="0" w:color="auto"/>
                                        <w:bottom w:val="none" w:sz="0" w:space="0" w:color="auto"/>
                                        <w:right w:val="none" w:sz="0" w:space="0" w:color="auto"/>
                                      </w:divBdr>
                                    </w:div>
                                    <w:div w:id="82990270">
                                      <w:marLeft w:val="0"/>
                                      <w:marRight w:val="0"/>
                                      <w:marTop w:val="166"/>
                                      <w:marBottom w:val="166"/>
                                      <w:divBdr>
                                        <w:top w:val="none" w:sz="0" w:space="0" w:color="auto"/>
                                        <w:left w:val="none" w:sz="0" w:space="0" w:color="auto"/>
                                        <w:bottom w:val="none" w:sz="0" w:space="0" w:color="auto"/>
                                        <w:right w:val="none" w:sz="0" w:space="0" w:color="auto"/>
                                      </w:divBdr>
                                    </w:div>
                                    <w:div w:id="285695309">
                                      <w:marLeft w:val="0"/>
                                      <w:marRight w:val="0"/>
                                      <w:marTop w:val="166"/>
                                      <w:marBottom w:val="166"/>
                                      <w:divBdr>
                                        <w:top w:val="none" w:sz="0" w:space="0" w:color="auto"/>
                                        <w:left w:val="none" w:sz="0" w:space="0" w:color="auto"/>
                                        <w:bottom w:val="none" w:sz="0" w:space="0" w:color="auto"/>
                                        <w:right w:val="none" w:sz="0" w:space="0" w:color="auto"/>
                                      </w:divBdr>
                                    </w:div>
                                    <w:div w:id="127403021">
                                      <w:marLeft w:val="0"/>
                                      <w:marRight w:val="0"/>
                                      <w:marTop w:val="166"/>
                                      <w:marBottom w:val="166"/>
                                      <w:divBdr>
                                        <w:top w:val="none" w:sz="0" w:space="0" w:color="auto"/>
                                        <w:left w:val="none" w:sz="0" w:space="0" w:color="auto"/>
                                        <w:bottom w:val="none" w:sz="0" w:space="0" w:color="auto"/>
                                        <w:right w:val="none" w:sz="0" w:space="0" w:color="auto"/>
                                      </w:divBdr>
                                    </w:div>
                                    <w:div w:id="1998681736">
                                      <w:marLeft w:val="0"/>
                                      <w:marRight w:val="0"/>
                                      <w:marTop w:val="166"/>
                                      <w:marBottom w:val="166"/>
                                      <w:divBdr>
                                        <w:top w:val="none" w:sz="0" w:space="0" w:color="auto"/>
                                        <w:left w:val="none" w:sz="0" w:space="0" w:color="auto"/>
                                        <w:bottom w:val="none" w:sz="0" w:space="0" w:color="auto"/>
                                        <w:right w:val="none" w:sz="0" w:space="0" w:color="auto"/>
                                      </w:divBdr>
                                    </w:div>
                                    <w:div w:id="1587305329">
                                      <w:marLeft w:val="0"/>
                                      <w:marRight w:val="0"/>
                                      <w:marTop w:val="166"/>
                                      <w:marBottom w:val="166"/>
                                      <w:divBdr>
                                        <w:top w:val="none" w:sz="0" w:space="0" w:color="auto"/>
                                        <w:left w:val="none" w:sz="0" w:space="0" w:color="auto"/>
                                        <w:bottom w:val="none" w:sz="0" w:space="0" w:color="auto"/>
                                        <w:right w:val="none" w:sz="0" w:space="0" w:color="auto"/>
                                      </w:divBdr>
                                    </w:div>
                                    <w:div w:id="603457616">
                                      <w:marLeft w:val="0"/>
                                      <w:marRight w:val="0"/>
                                      <w:marTop w:val="166"/>
                                      <w:marBottom w:val="166"/>
                                      <w:divBdr>
                                        <w:top w:val="none" w:sz="0" w:space="0" w:color="auto"/>
                                        <w:left w:val="none" w:sz="0" w:space="0" w:color="auto"/>
                                        <w:bottom w:val="none" w:sz="0" w:space="0" w:color="auto"/>
                                        <w:right w:val="none" w:sz="0" w:space="0" w:color="auto"/>
                                      </w:divBdr>
                                    </w:div>
                                    <w:div w:id="1809202598">
                                      <w:marLeft w:val="0"/>
                                      <w:marRight w:val="0"/>
                                      <w:marTop w:val="166"/>
                                      <w:marBottom w:val="166"/>
                                      <w:divBdr>
                                        <w:top w:val="none" w:sz="0" w:space="0" w:color="auto"/>
                                        <w:left w:val="none" w:sz="0" w:space="0" w:color="auto"/>
                                        <w:bottom w:val="none" w:sz="0" w:space="0" w:color="auto"/>
                                        <w:right w:val="none" w:sz="0" w:space="0" w:color="auto"/>
                                      </w:divBdr>
                                    </w:div>
                                    <w:div w:id="536895170">
                                      <w:marLeft w:val="0"/>
                                      <w:marRight w:val="0"/>
                                      <w:marTop w:val="166"/>
                                      <w:marBottom w:val="166"/>
                                      <w:divBdr>
                                        <w:top w:val="none" w:sz="0" w:space="0" w:color="auto"/>
                                        <w:left w:val="none" w:sz="0" w:space="0" w:color="auto"/>
                                        <w:bottom w:val="none" w:sz="0" w:space="0" w:color="auto"/>
                                        <w:right w:val="none" w:sz="0" w:space="0" w:color="auto"/>
                                      </w:divBdr>
                                    </w:div>
                                    <w:div w:id="1395590140">
                                      <w:marLeft w:val="0"/>
                                      <w:marRight w:val="0"/>
                                      <w:marTop w:val="166"/>
                                      <w:marBottom w:val="166"/>
                                      <w:divBdr>
                                        <w:top w:val="none" w:sz="0" w:space="0" w:color="auto"/>
                                        <w:left w:val="none" w:sz="0" w:space="0" w:color="auto"/>
                                        <w:bottom w:val="none" w:sz="0" w:space="0" w:color="auto"/>
                                        <w:right w:val="none" w:sz="0" w:space="0" w:color="auto"/>
                                      </w:divBdr>
                                    </w:div>
                                    <w:div w:id="1511094724">
                                      <w:marLeft w:val="0"/>
                                      <w:marRight w:val="0"/>
                                      <w:marTop w:val="166"/>
                                      <w:marBottom w:val="166"/>
                                      <w:divBdr>
                                        <w:top w:val="none" w:sz="0" w:space="0" w:color="auto"/>
                                        <w:left w:val="none" w:sz="0" w:space="0" w:color="auto"/>
                                        <w:bottom w:val="none" w:sz="0" w:space="0" w:color="auto"/>
                                        <w:right w:val="none" w:sz="0" w:space="0" w:color="auto"/>
                                      </w:divBdr>
                                    </w:div>
                                    <w:div w:id="1843205587">
                                      <w:marLeft w:val="0"/>
                                      <w:marRight w:val="0"/>
                                      <w:marTop w:val="166"/>
                                      <w:marBottom w:val="166"/>
                                      <w:divBdr>
                                        <w:top w:val="none" w:sz="0" w:space="0" w:color="auto"/>
                                        <w:left w:val="none" w:sz="0" w:space="0" w:color="auto"/>
                                        <w:bottom w:val="none" w:sz="0" w:space="0" w:color="auto"/>
                                        <w:right w:val="none" w:sz="0" w:space="0" w:color="auto"/>
                                      </w:divBdr>
                                    </w:div>
                                    <w:div w:id="1380860974">
                                      <w:marLeft w:val="0"/>
                                      <w:marRight w:val="0"/>
                                      <w:marTop w:val="166"/>
                                      <w:marBottom w:val="166"/>
                                      <w:divBdr>
                                        <w:top w:val="none" w:sz="0" w:space="0" w:color="auto"/>
                                        <w:left w:val="none" w:sz="0" w:space="0" w:color="auto"/>
                                        <w:bottom w:val="none" w:sz="0" w:space="0" w:color="auto"/>
                                        <w:right w:val="none" w:sz="0" w:space="0" w:color="auto"/>
                                      </w:divBdr>
                                    </w:div>
                                    <w:div w:id="963313829">
                                      <w:marLeft w:val="0"/>
                                      <w:marRight w:val="0"/>
                                      <w:marTop w:val="166"/>
                                      <w:marBottom w:val="166"/>
                                      <w:divBdr>
                                        <w:top w:val="none" w:sz="0" w:space="0" w:color="auto"/>
                                        <w:left w:val="none" w:sz="0" w:space="0" w:color="auto"/>
                                        <w:bottom w:val="none" w:sz="0" w:space="0" w:color="auto"/>
                                        <w:right w:val="none" w:sz="0" w:space="0" w:color="auto"/>
                                      </w:divBdr>
                                    </w:div>
                                    <w:div w:id="836768559">
                                      <w:marLeft w:val="0"/>
                                      <w:marRight w:val="0"/>
                                      <w:marTop w:val="166"/>
                                      <w:marBottom w:val="166"/>
                                      <w:divBdr>
                                        <w:top w:val="none" w:sz="0" w:space="0" w:color="auto"/>
                                        <w:left w:val="none" w:sz="0" w:space="0" w:color="auto"/>
                                        <w:bottom w:val="none" w:sz="0" w:space="0" w:color="auto"/>
                                        <w:right w:val="none" w:sz="0" w:space="0" w:color="auto"/>
                                      </w:divBdr>
                                    </w:div>
                                    <w:div w:id="1982730655">
                                      <w:marLeft w:val="0"/>
                                      <w:marRight w:val="0"/>
                                      <w:marTop w:val="166"/>
                                      <w:marBottom w:val="166"/>
                                      <w:divBdr>
                                        <w:top w:val="none" w:sz="0" w:space="0" w:color="auto"/>
                                        <w:left w:val="none" w:sz="0" w:space="0" w:color="auto"/>
                                        <w:bottom w:val="none" w:sz="0" w:space="0" w:color="auto"/>
                                        <w:right w:val="none" w:sz="0" w:space="0" w:color="auto"/>
                                      </w:divBdr>
                                    </w:div>
                                    <w:div w:id="523638183">
                                      <w:marLeft w:val="0"/>
                                      <w:marRight w:val="0"/>
                                      <w:marTop w:val="166"/>
                                      <w:marBottom w:val="166"/>
                                      <w:divBdr>
                                        <w:top w:val="none" w:sz="0" w:space="0" w:color="auto"/>
                                        <w:left w:val="none" w:sz="0" w:space="0" w:color="auto"/>
                                        <w:bottom w:val="none" w:sz="0" w:space="0" w:color="auto"/>
                                        <w:right w:val="none" w:sz="0" w:space="0" w:color="auto"/>
                                      </w:divBdr>
                                    </w:div>
                                    <w:div w:id="834876936">
                                      <w:marLeft w:val="0"/>
                                      <w:marRight w:val="0"/>
                                      <w:marTop w:val="166"/>
                                      <w:marBottom w:val="166"/>
                                      <w:divBdr>
                                        <w:top w:val="none" w:sz="0" w:space="0" w:color="auto"/>
                                        <w:left w:val="none" w:sz="0" w:space="0" w:color="auto"/>
                                        <w:bottom w:val="none" w:sz="0" w:space="0" w:color="auto"/>
                                        <w:right w:val="none" w:sz="0" w:space="0" w:color="auto"/>
                                      </w:divBdr>
                                    </w:div>
                                    <w:div w:id="1783761980">
                                      <w:marLeft w:val="0"/>
                                      <w:marRight w:val="0"/>
                                      <w:marTop w:val="166"/>
                                      <w:marBottom w:val="166"/>
                                      <w:divBdr>
                                        <w:top w:val="none" w:sz="0" w:space="0" w:color="auto"/>
                                        <w:left w:val="none" w:sz="0" w:space="0" w:color="auto"/>
                                        <w:bottom w:val="none" w:sz="0" w:space="0" w:color="auto"/>
                                        <w:right w:val="none" w:sz="0" w:space="0" w:color="auto"/>
                                      </w:divBdr>
                                    </w:div>
                                    <w:div w:id="1717391342">
                                      <w:marLeft w:val="0"/>
                                      <w:marRight w:val="0"/>
                                      <w:marTop w:val="166"/>
                                      <w:marBottom w:val="166"/>
                                      <w:divBdr>
                                        <w:top w:val="none" w:sz="0" w:space="0" w:color="auto"/>
                                        <w:left w:val="none" w:sz="0" w:space="0" w:color="auto"/>
                                        <w:bottom w:val="none" w:sz="0" w:space="0" w:color="auto"/>
                                        <w:right w:val="none" w:sz="0" w:space="0" w:color="auto"/>
                                      </w:divBdr>
                                    </w:div>
                                    <w:div w:id="115563771">
                                      <w:marLeft w:val="0"/>
                                      <w:marRight w:val="0"/>
                                      <w:marTop w:val="166"/>
                                      <w:marBottom w:val="166"/>
                                      <w:divBdr>
                                        <w:top w:val="none" w:sz="0" w:space="0" w:color="auto"/>
                                        <w:left w:val="none" w:sz="0" w:space="0" w:color="auto"/>
                                        <w:bottom w:val="none" w:sz="0" w:space="0" w:color="auto"/>
                                        <w:right w:val="none" w:sz="0" w:space="0" w:color="auto"/>
                                      </w:divBdr>
                                    </w:div>
                                    <w:div w:id="771585112">
                                      <w:marLeft w:val="0"/>
                                      <w:marRight w:val="0"/>
                                      <w:marTop w:val="166"/>
                                      <w:marBottom w:val="166"/>
                                      <w:divBdr>
                                        <w:top w:val="none" w:sz="0" w:space="0" w:color="auto"/>
                                        <w:left w:val="none" w:sz="0" w:space="0" w:color="auto"/>
                                        <w:bottom w:val="none" w:sz="0" w:space="0" w:color="auto"/>
                                        <w:right w:val="none" w:sz="0" w:space="0" w:color="auto"/>
                                      </w:divBdr>
                                    </w:div>
                                    <w:div w:id="66222474">
                                      <w:marLeft w:val="0"/>
                                      <w:marRight w:val="0"/>
                                      <w:marTop w:val="166"/>
                                      <w:marBottom w:val="166"/>
                                      <w:divBdr>
                                        <w:top w:val="none" w:sz="0" w:space="0" w:color="auto"/>
                                        <w:left w:val="none" w:sz="0" w:space="0" w:color="auto"/>
                                        <w:bottom w:val="none" w:sz="0" w:space="0" w:color="auto"/>
                                        <w:right w:val="none" w:sz="0" w:space="0" w:color="auto"/>
                                      </w:divBdr>
                                    </w:div>
                                    <w:div w:id="1555116536">
                                      <w:marLeft w:val="0"/>
                                      <w:marRight w:val="0"/>
                                      <w:marTop w:val="166"/>
                                      <w:marBottom w:val="166"/>
                                      <w:divBdr>
                                        <w:top w:val="none" w:sz="0" w:space="0" w:color="auto"/>
                                        <w:left w:val="none" w:sz="0" w:space="0" w:color="auto"/>
                                        <w:bottom w:val="none" w:sz="0" w:space="0" w:color="auto"/>
                                        <w:right w:val="none" w:sz="0" w:space="0" w:color="auto"/>
                                      </w:divBdr>
                                    </w:div>
                                    <w:div w:id="26178697">
                                      <w:marLeft w:val="0"/>
                                      <w:marRight w:val="0"/>
                                      <w:marTop w:val="166"/>
                                      <w:marBottom w:val="166"/>
                                      <w:divBdr>
                                        <w:top w:val="none" w:sz="0" w:space="0" w:color="auto"/>
                                        <w:left w:val="none" w:sz="0" w:space="0" w:color="auto"/>
                                        <w:bottom w:val="none" w:sz="0" w:space="0" w:color="auto"/>
                                        <w:right w:val="none" w:sz="0" w:space="0" w:color="auto"/>
                                      </w:divBdr>
                                    </w:div>
                                    <w:div w:id="1612858648">
                                      <w:marLeft w:val="0"/>
                                      <w:marRight w:val="0"/>
                                      <w:marTop w:val="166"/>
                                      <w:marBottom w:val="166"/>
                                      <w:divBdr>
                                        <w:top w:val="none" w:sz="0" w:space="0" w:color="auto"/>
                                        <w:left w:val="none" w:sz="0" w:space="0" w:color="auto"/>
                                        <w:bottom w:val="none" w:sz="0" w:space="0" w:color="auto"/>
                                        <w:right w:val="none" w:sz="0" w:space="0" w:color="auto"/>
                                      </w:divBdr>
                                    </w:div>
                                    <w:div w:id="1055665749">
                                      <w:marLeft w:val="0"/>
                                      <w:marRight w:val="0"/>
                                      <w:marTop w:val="166"/>
                                      <w:marBottom w:val="166"/>
                                      <w:divBdr>
                                        <w:top w:val="none" w:sz="0" w:space="0" w:color="auto"/>
                                        <w:left w:val="none" w:sz="0" w:space="0" w:color="auto"/>
                                        <w:bottom w:val="none" w:sz="0" w:space="0" w:color="auto"/>
                                        <w:right w:val="none" w:sz="0" w:space="0" w:color="auto"/>
                                      </w:divBdr>
                                    </w:div>
                                    <w:div w:id="17245769">
                                      <w:marLeft w:val="0"/>
                                      <w:marRight w:val="0"/>
                                      <w:marTop w:val="166"/>
                                      <w:marBottom w:val="166"/>
                                      <w:divBdr>
                                        <w:top w:val="none" w:sz="0" w:space="0" w:color="auto"/>
                                        <w:left w:val="none" w:sz="0" w:space="0" w:color="auto"/>
                                        <w:bottom w:val="none" w:sz="0" w:space="0" w:color="auto"/>
                                        <w:right w:val="none" w:sz="0" w:space="0" w:color="auto"/>
                                      </w:divBdr>
                                    </w:div>
                                    <w:div w:id="1621523296">
                                      <w:marLeft w:val="0"/>
                                      <w:marRight w:val="0"/>
                                      <w:marTop w:val="166"/>
                                      <w:marBottom w:val="166"/>
                                      <w:divBdr>
                                        <w:top w:val="none" w:sz="0" w:space="0" w:color="auto"/>
                                        <w:left w:val="none" w:sz="0" w:space="0" w:color="auto"/>
                                        <w:bottom w:val="none" w:sz="0" w:space="0" w:color="auto"/>
                                        <w:right w:val="none" w:sz="0" w:space="0" w:color="auto"/>
                                      </w:divBdr>
                                    </w:div>
                                    <w:div w:id="1132554864">
                                      <w:marLeft w:val="0"/>
                                      <w:marRight w:val="0"/>
                                      <w:marTop w:val="166"/>
                                      <w:marBottom w:val="166"/>
                                      <w:divBdr>
                                        <w:top w:val="none" w:sz="0" w:space="0" w:color="auto"/>
                                        <w:left w:val="none" w:sz="0" w:space="0" w:color="auto"/>
                                        <w:bottom w:val="none" w:sz="0" w:space="0" w:color="auto"/>
                                        <w:right w:val="none" w:sz="0" w:space="0" w:color="auto"/>
                                      </w:divBdr>
                                    </w:div>
                                    <w:div w:id="1634292174">
                                      <w:marLeft w:val="0"/>
                                      <w:marRight w:val="0"/>
                                      <w:marTop w:val="166"/>
                                      <w:marBottom w:val="166"/>
                                      <w:divBdr>
                                        <w:top w:val="none" w:sz="0" w:space="0" w:color="auto"/>
                                        <w:left w:val="none" w:sz="0" w:space="0" w:color="auto"/>
                                        <w:bottom w:val="none" w:sz="0" w:space="0" w:color="auto"/>
                                        <w:right w:val="none" w:sz="0" w:space="0" w:color="auto"/>
                                      </w:divBdr>
                                    </w:div>
                                    <w:div w:id="1641689329">
                                      <w:marLeft w:val="0"/>
                                      <w:marRight w:val="0"/>
                                      <w:marTop w:val="166"/>
                                      <w:marBottom w:val="166"/>
                                      <w:divBdr>
                                        <w:top w:val="none" w:sz="0" w:space="0" w:color="auto"/>
                                        <w:left w:val="none" w:sz="0" w:space="0" w:color="auto"/>
                                        <w:bottom w:val="none" w:sz="0" w:space="0" w:color="auto"/>
                                        <w:right w:val="none" w:sz="0" w:space="0" w:color="auto"/>
                                      </w:divBdr>
                                    </w:div>
                                    <w:div w:id="513809534">
                                      <w:marLeft w:val="0"/>
                                      <w:marRight w:val="0"/>
                                      <w:marTop w:val="166"/>
                                      <w:marBottom w:val="166"/>
                                      <w:divBdr>
                                        <w:top w:val="none" w:sz="0" w:space="0" w:color="auto"/>
                                        <w:left w:val="none" w:sz="0" w:space="0" w:color="auto"/>
                                        <w:bottom w:val="none" w:sz="0" w:space="0" w:color="auto"/>
                                        <w:right w:val="none" w:sz="0" w:space="0" w:color="auto"/>
                                      </w:divBdr>
                                    </w:div>
                                    <w:div w:id="318733198">
                                      <w:marLeft w:val="0"/>
                                      <w:marRight w:val="0"/>
                                      <w:marTop w:val="166"/>
                                      <w:marBottom w:val="166"/>
                                      <w:divBdr>
                                        <w:top w:val="none" w:sz="0" w:space="0" w:color="auto"/>
                                        <w:left w:val="none" w:sz="0" w:space="0" w:color="auto"/>
                                        <w:bottom w:val="none" w:sz="0" w:space="0" w:color="auto"/>
                                        <w:right w:val="none" w:sz="0" w:space="0" w:color="auto"/>
                                      </w:divBdr>
                                    </w:div>
                                    <w:div w:id="885265029">
                                      <w:marLeft w:val="0"/>
                                      <w:marRight w:val="0"/>
                                      <w:marTop w:val="166"/>
                                      <w:marBottom w:val="166"/>
                                      <w:divBdr>
                                        <w:top w:val="none" w:sz="0" w:space="0" w:color="auto"/>
                                        <w:left w:val="none" w:sz="0" w:space="0" w:color="auto"/>
                                        <w:bottom w:val="none" w:sz="0" w:space="0" w:color="auto"/>
                                        <w:right w:val="none" w:sz="0" w:space="0" w:color="auto"/>
                                      </w:divBdr>
                                    </w:div>
                                    <w:div w:id="332101734">
                                      <w:marLeft w:val="0"/>
                                      <w:marRight w:val="0"/>
                                      <w:marTop w:val="166"/>
                                      <w:marBottom w:val="166"/>
                                      <w:divBdr>
                                        <w:top w:val="none" w:sz="0" w:space="0" w:color="auto"/>
                                        <w:left w:val="none" w:sz="0" w:space="0" w:color="auto"/>
                                        <w:bottom w:val="none" w:sz="0" w:space="0" w:color="auto"/>
                                        <w:right w:val="none" w:sz="0" w:space="0" w:color="auto"/>
                                      </w:divBdr>
                                    </w:div>
                                    <w:div w:id="16660100">
                                      <w:marLeft w:val="0"/>
                                      <w:marRight w:val="0"/>
                                      <w:marTop w:val="166"/>
                                      <w:marBottom w:val="166"/>
                                      <w:divBdr>
                                        <w:top w:val="none" w:sz="0" w:space="0" w:color="auto"/>
                                        <w:left w:val="none" w:sz="0" w:space="0" w:color="auto"/>
                                        <w:bottom w:val="none" w:sz="0" w:space="0" w:color="auto"/>
                                        <w:right w:val="none" w:sz="0" w:space="0" w:color="auto"/>
                                      </w:divBdr>
                                    </w:div>
                                    <w:div w:id="2012558611">
                                      <w:marLeft w:val="0"/>
                                      <w:marRight w:val="0"/>
                                      <w:marTop w:val="166"/>
                                      <w:marBottom w:val="166"/>
                                      <w:divBdr>
                                        <w:top w:val="none" w:sz="0" w:space="0" w:color="auto"/>
                                        <w:left w:val="none" w:sz="0" w:space="0" w:color="auto"/>
                                        <w:bottom w:val="none" w:sz="0" w:space="0" w:color="auto"/>
                                        <w:right w:val="none" w:sz="0" w:space="0" w:color="auto"/>
                                      </w:divBdr>
                                    </w:div>
                                    <w:div w:id="815874810">
                                      <w:marLeft w:val="0"/>
                                      <w:marRight w:val="0"/>
                                      <w:marTop w:val="166"/>
                                      <w:marBottom w:val="166"/>
                                      <w:divBdr>
                                        <w:top w:val="none" w:sz="0" w:space="0" w:color="auto"/>
                                        <w:left w:val="none" w:sz="0" w:space="0" w:color="auto"/>
                                        <w:bottom w:val="none" w:sz="0" w:space="0" w:color="auto"/>
                                        <w:right w:val="none" w:sz="0" w:space="0" w:color="auto"/>
                                      </w:divBdr>
                                    </w:div>
                                    <w:div w:id="28798229">
                                      <w:marLeft w:val="0"/>
                                      <w:marRight w:val="0"/>
                                      <w:marTop w:val="166"/>
                                      <w:marBottom w:val="166"/>
                                      <w:divBdr>
                                        <w:top w:val="none" w:sz="0" w:space="0" w:color="auto"/>
                                        <w:left w:val="none" w:sz="0" w:space="0" w:color="auto"/>
                                        <w:bottom w:val="none" w:sz="0" w:space="0" w:color="auto"/>
                                        <w:right w:val="none" w:sz="0" w:space="0" w:color="auto"/>
                                      </w:divBdr>
                                    </w:div>
                                    <w:div w:id="1546986803">
                                      <w:marLeft w:val="0"/>
                                      <w:marRight w:val="0"/>
                                      <w:marTop w:val="166"/>
                                      <w:marBottom w:val="166"/>
                                      <w:divBdr>
                                        <w:top w:val="none" w:sz="0" w:space="0" w:color="auto"/>
                                        <w:left w:val="none" w:sz="0" w:space="0" w:color="auto"/>
                                        <w:bottom w:val="none" w:sz="0" w:space="0" w:color="auto"/>
                                        <w:right w:val="none" w:sz="0" w:space="0" w:color="auto"/>
                                      </w:divBdr>
                                    </w:div>
                                    <w:div w:id="791752334">
                                      <w:marLeft w:val="0"/>
                                      <w:marRight w:val="0"/>
                                      <w:marTop w:val="166"/>
                                      <w:marBottom w:val="166"/>
                                      <w:divBdr>
                                        <w:top w:val="none" w:sz="0" w:space="0" w:color="auto"/>
                                        <w:left w:val="none" w:sz="0" w:space="0" w:color="auto"/>
                                        <w:bottom w:val="none" w:sz="0" w:space="0" w:color="auto"/>
                                        <w:right w:val="none" w:sz="0" w:space="0" w:color="auto"/>
                                      </w:divBdr>
                                    </w:div>
                                    <w:div w:id="17513691">
                                      <w:marLeft w:val="0"/>
                                      <w:marRight w:val="0"/>
                                      <w:marTop w:val="166"/>
                                      <w:marBottom w:val="166"/>
                                      <w:divBdr>
                                        <w:top w:val="none" w:sz="0" w:space="0" w:color="auto"/>
                                        <w:left w:val="none" w:sz="0" w:space="0" w:color="auto"/>
                                        <w:bottom w:val="none" w:sz="0" w:space="0" w:color="auto"/>
                                        <w:right w:val="none" w:sz="0" w:space="0" w:color="auto"/>
                                      </w:divBdr>
                                    </w:div>
                                    <w:div w:id="861894757">
                                      <w:marLeft w:val="0"/>
                                      <w:marRight w:val="0"/>
                                      <w:marTop w:val="166"/>
                                      <w:marBottom w:val="166"/>
                                      <w:divBdr>
                                        <w:top w:val="none" w:sz="0" w:space="0" w:color="auto"/>
                                        <w:left w:val="none" w:sz="0" w:space="0" w:color="auto"/>
                                        <w:bottom w:val="none" w:sz="0" w:space="0" w:color="auto"/>
                                        <w:right w:val="none" w:sz="0" w:space="0" w:color="auto"/>
                                      </w:divBdr>
                                    </w:div>
                                    <w:div w:id="1715305657">
                                      <w:marLeft w:val="0"/>
                                      <w:marRight w:val="0"/>
                                      <w:marTop w:val="166"/>
                                      <w:marBottom w:val="166"/>
                                      <w:divBdr>
                                        <w:top w:val="none" w:sz="0" w:space="0" w:color="auto"/>
                                        <w:left w:val="none" w:sz="0" w:space="0" w:color="auto"/>
                                        <w:bottom w:val="none" w:sz="0" w:space="0" w:color="auto"/>
                                        <w:right w:val="none" w:sz="0" w:space="0" w:color="auto"/>
                                      </w:divBdr>
                                    </w:div>
                                    <w:div w:id="1677535388">
                                      <w:marLeft w:val="0"/>
                                      <w:marRight w:val="0"/>
                                      <w:marTop w:val="166"/>
                                      <w:marBottom w:val="166"/>
                                      <w:divBdr>
                                        <w:top w:val="none" w:sz="0" w:space="0" w:color="auto"/>
                                        <w:left w:val="none" w:sz="0" w:space="0" w:color="auto"/>
                                        <w:bottom w:val="none" w:sz="0" w:space="0" w:color="auto"/>
                                        <w:right w:val="none" w:sz="0" w:space="0" w:color="auto"/>
                                      </w:divBdr>
                                    </w:div>
                                    <w:div w:id="814395">
                                      <w:marLeft w:val="0"/>
                                      <w:marRight w:val="0"/>
                                      <w:marTop w:val="166"/>
                                      <w:marBottom w:val="166"/>
                                      <w:divBdr>
                                        <w:top w:val="none" w:sz="0" w:space="0" w:color="auto"/>
                                        <w:left w:val="none" w:sz="0" w:space="0" w:color="auto"/>
                                        <w:bottom w:val="none" w:sz="0" w:space="0" w:color="auto"/>
                                        <w:right w:val="none" w:sz="0" w:space="0" w:color="auto"/>
                                      </w:divBdr>
                                    </w:div>
                                    <w:div w:id="602960060">
                                      <w:marLeft w:val="0"/>
                                      <w:marRight w:val="0"/>
                                      <w:marTop w:val="166"/>
                                      <w:marBottom w:val="166"/>
                                      <w:divBdr>
                                        <w:top w:val="none" w:sz="0" w:space="0" w:color="auto"/>
                                        <w:left w:val="none" w:sz="0" w:space="0" w:color="auto"/>
                                        <w:bottom w:val="none" w:sz="0" w:space="0" w:color="auto"/>
                                        <w:right w:val="none" w:sz="0" w:space="0" w:color="auto"/>
                                      </w:divBdr>
                                    </w:div>
                                    <w:div w:id="2024235180">
                                      <w:marLeft w:val="0"/>
                                      <w:marRight w:val="0"/>
                                      <w:marTop w:val="166"/>
                                      <w:marBottom w:val="166"/>
                                      <w:divBdr>
                                        <w:top w:val="none" w:sz="0" w:space="0" w:color="auto"/>
                                        <w:left w:val="none" w:sz="0" w:space="0" w:color="auto"/>
                                        <w:bottom w:val="none" w:sz="0" w:space="0" w:color="auto"/>
                                        <w:right w:val="none" w:sz="0" w:space="0" w:color="auto"/>
                                      </w:divBdr>
                                    </w:div>
                                    <w:div w:id="1101687464">
                                      <w:marLeft w:val="0"/>
                                      <w:marRight w:val="0"/>
                                      <w:marTop w:val="166"/>
                                      <w:marBottom w:val="166"/>
                                      <w:divBdr>
                                        <w:top w:val="none" w:sz="0" w:space="0" w:color="auto"/>
                                        <w:left w:val="none" w:sz="0" w:space="0" w:color="auto"/>
                                        <w:bottom w:val="none" w:sz="0" w:space="0" w:color="auto"/>
                                        <w:right w:val="none" w:sz="0" w:space="0" w:color="auto"/>
                                      </w:divBdr>
                                    </w:div>
                                    <w:div w:id="1305575243">
                                      <w:marLeft w:val="0"/>
                                      <w:marRight w:val="0"/>
                                      <w:marTop w:val="166"/>
                                      <w:marBottom w:val="166"/>
                                      <w:divBdr>
                                        <w:top w:val="none" w:sz="0" w:space="0" w:color="auto"/>
                                        <w:left w:val="none" w:sz="0" w:space="0" w:color="auto"/>
                                        <w:bottom w:val="none" w:sz="0" w:space="0" w:color="auto"/>
                                        <w:right w:val="none" w:sz="0" w:space="0" w:color="auto"/>
                                      </w:divBdr>
                                    </w:div>
                                    <w:div w:id="32002069">
                                      <w:marLeft w:val="0"/>
                                      <w:marRight w:val="0"/>
                                      <w:marTop w:val="166"/>
                                      <w:marBottom w:val="166"/>
                                      <w:divBdr>
                                        <w:top w:val="none" w:sz="0" w:space="0" w:color="auto"/>
                                        <w:left w:val="none" w:sz="0" w:space="0" w:color="auto"/>
                                        <w:bottom w:val="none" w:sz="0" w:space="0" w:color="auto"/>
                                        <w:right w:val="none" w:sz="0" w:space="0" w:color="auto"/>
                                      </w:divBdr>
                                    </w:div>
                                    <w:div w:id="1250892589">
                                      <w:marLeft w:val="0"/>
                                      <w:marRight w:val="0"/>
                                      <w:marTop w:val="166"/>
                                      <w:marBottom w:val="166"/>
                                      <w:divBdr>
                                        <w:top w:val="none" w:sz="0" w:space="0" w:color="auto"/>
                                        <w:left w:val="none" w:sz="0" w:space="0" w:color="auto"/>
                                        <w:bottom w:val="none" w:sz="0" w:space="0" w:color="auto"/>
                                        <w:right w:val="none" w:sz="0" w:space="0" w:color="auto"/>
                                      </w:divBdr>
                                    </w:div>
                                    <w:div w:id="545797393">
                                      <w:marLeft w:val="0"/>
                                      <w:marRight w:val="0"/>
                                      <w:marTop w:val="166"/>
                                      <w:marBottom w:val="166"/>
                                      <w:divBdr>
                                        <w:top w:val="none" w:sz="0" w:space="0" w:color="auto"/>
                                        <w:left w:val="none" w:sz="0" w:space="0" w:color="auto"/>
                                        <w:bottom w:val="none" w:sz="0" w:space="0" w:color="auto"/>
                                        <w:right w:val="none" w:sz="0" w:space="0" w:color="auto"/>
                                      </w:divBdr>
                                    </w:div>
                                    <w:div w:id="1851680784">
                                      <w:marLeft w:val="0"/>
                                      <w:marRight w:val="0"/>
                                      <w:marTop w:val="166"/>
                                      <w:marBottom w:val="166"/>
                                      <w:divBdr>
                                        <w:top w:val="none" w:sz="0" w:space="0" w:color="auto"/>
                                        <w:left w:val="none" w:sz="0" w:space="0" w:color="auto"/>
                                        <w:bottom w:val="none" w:sz="0" w:space="0" w:color="auto"/>
                                        <w:right w:val="none" w:sz="0" w:space="0" w:color="auto"/>
                                      </w:divBdr>
                                    </w:div>
                                    <w:div w:id="1659993903">
                                      <w:marLeft w:val="0"/>
                                      <w:marRight w:val="0"/>
                                      <w:marTop w:val="166"/>
                                      <w:marBottom w:val="166"/>
                                      <w:divBdr>
                                        <w:top w:val="none" w:sz="0" w:space="0" w:color="auto"/>
                                        <w:left w:val="none" w:sz="0" w:space="0" w:color="auto"/>
                                        <w:bottom w:val="none" w:sz="0" w:space="0" w:color="auto"/>
                                        <w:right w:val="none" w:sz="0" w:space="0" w:color="auto"/>
                                      </w:divBdr>
                                    </w:div>
                                    <w:div w:id="1781753498">
                                      <w:marLeft w:val="0"/>
                                      <w:marRight w:val="0"/>
                                      <w:marTop w:val="166"/>
                                      <w:marBottom w:val="166"/>
                                      <w:divBdr>
                                        <w:top w:val="none" w:sz="0" w:space="0" w:color="auto"/>
                                        <w:left w:val="none" w:sz="0" w:space="0" w:color="auto"/>
                                        <w:bottom w:val="none" w:sz="0" w:space="0" w:color="auto"/>
                                        <w:right w:val="none" w:sz="0" w:space="0" w:color="auto"/>
                                      </w:divBdr>
                                    </w:div>
                                    <w:div w:id="1470594344">
                                      <w:marLeft w:val="0"/>
                                      <w:marRight w:val="0"/>
                                      <w:marTop w:val="166"/>
                                      <w:marBottom w:val="166"/>
                                      <w:divBdr>
                                        <w:top w:val="none" w:sz="0" w:space="0" w:color="auto"/>
                                        <w:left w:val="none" w:sz="0" w:space="0" w:color="auto"/>
                                        <w:bottom w:val="none" w:sz="0" w:space="0" w:color="auto"/>
                                        <w:right w:val="none" w:sz="0" w:space="0" w:color="auto"/>
                                      </w:divBdr>
                                    </w:div>
                                    <w:div w:id="298614028">
                                      <w:marLeft w:val="0"/>
                                      <w:marRight w:val="0"/>
                                      <w:marTop w:val="166"/>
                                      <w:marBottom w:val="166"/>
                                      <w:divBdr>
                                        <w:top w:val="none" w:sz="0" w:space="0" w:color="auto"/>
                                        <w:left w:val="none" w:sz="0" w:space="0" w:color="auto"/>
                                        <w:bottom w:val="none" w:sz="0" w:space="0" w:color="auto"/>
                                        <w:right w:val="none" w:sz="0" w:space="0" w:color="auto"/>
                                      </w:divBdr>
                                    </w:div>
                                    <w:div w:id="1939174936">
                                      <w:marLeft w:val="0"/>
                                      <w:marRight w:val="0"/>
                                      <w:marTop w:val="166"/>
                                      <w:marBottom w:val="166"/>
                                      <w:divBdr>
                                        <w:top w:val="none" w:sz="0" w:space="0" w:color="auto"/>
                                        <w:left w:val="none" w:sz="0" w:space="0" w:color="auto"/>
                                        <w:bottom w:val="none" w:sz="0" w:space="0" w:color="auto"/>
                                        <w:right w:val="none" w:sz="0" w:space="0" w:color="auto"/>
                                      </w:divBdr>
                                    </w:div>
                                    <w:div w:id="298807002">
                                      <w:marLeft w:val="0"/>
                                      <w:marRight w:val="0"/>
                                      <w:marTop w:val="166"/>
                                      <w:marBottom w:val="166"/>
                                      <w:divBdr>
                                        <w:top w:val="none" w:sz="0" w:space="0" w:color="auto"/>
                                        <w:left w:val="none" w:sz="0" w:space="0" w:color="auto"/>
                                        <w:bottom w:val="none" w:sz="0" w:space="0" w:color="auto"/>
                                        <w:right w:val="none" w:sz="0" w:space="0" w:color="auto"/>
                                      </w:divBdr>
                                    </w:div>
                                    <w:div w:id="1230459002">
                                      <w:marLeft w:val="0"/>
                                      <w:marRight w:val="0"/>
                                      <w:marTop w:val="166"/>
                                      <w:marBottom w:val="166"/>
                                      <w:divBdr>
                                        <w:top w:val="none" w:sz="0" w:space="0" w:color="auto"/>
                                        <w:left w:val="none" w:sz="0" w:space="0" w:color="auto"/>
                                        <w:bottom w:val="none" w:sz="0" w:space="0" w:color="auto"/>
                                        <w:right w:val="none" w:sz="0" w:space="0" w:color="auto"/>
                                      </w:divBdr>
                                    </w:div>
                                    <w:div w:id="1906987440">
                                      <w:marLeft w:val="0"/>
                                      <w:marRight w:val="0"/>
                                      <w:marTop w:val="166"/>
                                      <w:marBottom w:val="166"/>
                                      <w:divBdr>
                                        <w:top w:val="none" w:sz="0" w:space="0" w:color="auto"/>
                                        <w:left w:val="none" w:sz="0" w:space="0" w:color="auto"/>
                                        <w:bottom w:val="none" w:sz="0" w:space="0" w:color="auto"/>
                                        <w:right w:val="none" w:sz="0" w:space="0" w:color="auto"/>
                                      </w:divBdr>
                                    </w:div>
                                    <w:div w:id="1644003240">
                                      <w:marLeft w:val="0"/>
                                      <w:marRight w:val="0"/>
                                      <w:marTop w:val="166"/>
                                      <w:marBottom w:val="166"/>
                                      <w:divBdr>
                                        <w:top w:val="none" w:sz="0" w:space="0" w:color="auto"/>
                                        <w:left w:val="none" w:sz="0" w:space="0" w:color="auto"/>
                                        <w:bottom w:val="none" w:sz="0" w:space="0" w:color="auto"/>
                                        <w:right w:val="none" w:sz="0" w:space="0" w:color="auto"/>
                                      </w:divBdr>
                                    </w:div>
                                    <w:div w:id="109784119">
                                      <w:marLeft w:val="0"/>
                                      <w:marRight w:val="0"/>
                                      <w:marTop w:val="166"/>
                                      <w:marBottom w:val="166"/>
                                      <w:divBdr>
                                        <w:top w:val="none" w:sz="0" w:space="0" w:color="auto"/>
                                        <w:left w:val="none" w:sz="0" w:space="0" w:color="auto"/>
                                        <w:bottom w:val="none" w:sz="0" w:space="0" w:color="auto"/>
                                        <w:right w:val="none" w:sz="0" w:space="0" w:color="auto"/>
                                      </w:divBdr>
                                    </w:div>
                                    <w:div w:id="1237473582">
                                      <w:marLeft w:val="0"/>
                                      <w:marRight w:val="0"/>
                                      <w:marTop w:val="166"/>
                                      <w:marBottom w:val="166"/>
                                      <w:divBdr>
                                        <w:top w:val="none" w:sz="0" w:space="0" w:color="auto"/>
                                        <w:left w:val="none" w:sz="0" w:space="0" w:color="auto"/>
                                        <w:bottom w:val="none" w:sz="0" w:space="0" w:color="auto"/>
                                        <w:right w:val="none" w:sz="0" w:space="0" w:color="auto"/>
                                      </w:divBdr>
                                    </w:div>
                                    <w:div w:id="1242716815">
                                      <w:marLeft w:val="0"/>
                                      <w:marRight w:val="0"/>
                                      <w:marTop w:val="166"/>
                                      <w:marBottom w:val="166"/>
                                      <w:divBdr>
                                        <w:top w:val="none" w:sz="0" w:space="0" w:color="auto"/>
                                        <w:left w:val="none" w:sz="0" w:space="0" w:color="auto"/>
                                        <w:bottom w:val="none" w:sz="0" w:space="0" w:color="auto"/>
                                        <w:right w:val="none" w:sz="0" w:space="0" w:color="auto"/>
                                      </w:divBdr>
                                    </w:div>
                                    <w:div w:id="1056662535">
                                      <w:marLeft w:val="0"/>
                                      <w:marRight w:val="0"/>
                                      <w:marTop w:val="166"/>
                                      <w:marBottom w:val="166"/>
                                      <w:divBdr>
                                        <w:top w:val="none" w:sz="0" w:space="0" w:color="auto"/>
                                        <w:left w:val="none" w:sz="0" w:space="0" w:color="auto"/>
                                        <w:bottom w:val="none" w:sz="0" w:space="0" w:color="auto"/>
                                        <w:right w:val="none" w:sz="0" w:space="0" w:color="auto"/>
                                      </w:divBdr>
                                    </w:div>
                                    <w:div w:id="85883758">
                                      <w:marLeft w:val="0"/>
                                      <w:marRight w:val="0"/>
                                      <w:marTop w:val="166"/>
                                      <w:marBottom w:val="166"/>
                                      <w:divBdr>
                                        <w:top w:val="none" w:sz="0" w:space="0" w:color="auto"/>
                                        <w:left w:val="none" w:sz="0" w:space="0" w:color="auto"/>
                                        <w:bottom w:val="none" w:sz="0" w:space="0" w:color="auto"/>
                                        <w:right w:val="none" w:sz="0" w:space="0" w:color="auto"/>
                                      </w:divBdr>
                                    </w:div>
                                    <w:div w:id="1669942293">
                                      <w:marLeft w:val="0"/>
                                      <w:marRight w:val="0"/>
                                      <w:marTop w:val="166"/>
                                      <w:marBottom w:val="166"/>
                                      <w:divBdr>
                                        <w:top w:val="none" w:sz="0" w:space="0" w:color="auto"/>
                                        <w:left w:val="none" w:sz="0" w:space="0" w:color="auto"/>
                                        <w:bottom w:val="none" w:sz="0" w:space="0" w:color="auto"/>
                                        <w:right w:val="none" w:sz="0" w:space="0" w:color="auto"/>
                                      </w:divBdr>
                                    </w:div>
                                    <w:div w:id="1493445599">
                                      <w:marLeft w:val="0"/>
                                      <w:marRight w:val="0"/>
                                      <w:marTop w:val="166"/>
                                      <w:marBottom w:val="166"/>
                                      <w:divBdr>
                                        <w:top w:val="none" w:sz="0" w:space="0" w:color="auto"/>
                                        <w:left w:val="none" w:sz="0" w:space="0" w:color="auto"/>
                                        <w:bottom w:val="none" w:sz="0" w:space="0" w:color="auto"/>
                                        <w:right w:val="none" w:sz="0" w:space="0" w:color="auto"/>
                                      </w:divBdr>
                                    </w:div>
                                    <w:div w:id="734552780">
                                      <w:marLeft w:val="0"/>
                                      <w:marRight w:val="0"/>
                                      <w:marTop w:val="166"/>
                                      <w:marBottom w:val="166"/>
                                      <w:divBdr>
                                        <w:top w:val="none" w:sz="0" w:space="0" w:color="auto"/>
                                        <w:left w:val="none" w:sz="0" w:space="0" w:color="auto"/>
                                        <w:bottom w:val="none" w:sz="0" w:space="0" w:color="auto"/>
                                        <w:right w:val="none" w:sz="0" w:space="0" w:color="auto"/>
                                      </w:divBdr>
                                    </w:div>
                                    <w:div w:id="1587878592">
                                      <w:marLeft w:val="0"/>
                                      <w:marRight w:val="0"/>
                                      <w:marTop w:val="166"/>
                                      <w:marBottom w:val="166"/>
                                      <w:divBdr>
                                        <w:top w:val="none" w:sz="0" w:space="0" w:color="auto"/>
                                        <w:left w:val="none" w:sz="0" w:space="0" w:color="auto"/>
                                        <w:bottom w:val="none" w:sz="0" w:space="0" w:color="auto"/>
                                        <w:right w:val="none" w:sz="0" w:space="0" w:color="auto"/>
                                      </w:divBdr>
                                    </w:div>
                                    <w:div w:id="1469737183">
                                      <w:marLeft w:val="0"/>
                                      <w:marRight w:val="0"/>
                                      <w:marTop w:val="166"/>
                                      <w:marBottom w:val="166"/>
                                      <w:divBdr>
                                        <w:top w:val="none" w:sz="0" w:space="0" w:color="auto"/>
                                        <w:left w:val="none" w:sz="0" w:space="0" w:color="auto"/>
                                        <w:bottom w:val="none" w:sz="0" w:space="0" w:color="auto"/>
                                        <w:right w:val="none" w:sz="0" w:space="0" w:color="auto"/>
                                      </w:divBdr>
                                    </w:div>
                                    <w:div w:id="1535192710">
                                      <w:marLeft w:val="0"/>
                                      <w:marRight w:val="0"/>
                                      <w:marTop w:val="166"/>
                                      <w:marBottom w:val="166"/>
                                      <w:divBdr>
                                        <w:top w:val="none" w:sz="0" w:space="0" w:color="auto"/>
                                        <w:left w:val="none" w:sz="0" w:space="0" w:color="auto"/>
                                        <w:bottom w:val="none" w:sz="0" w:space="0" w:color="auto"/>
                                        <w:right w:val="none" w:sz="0" w:space="0" w:color="auto"/>
                                      </w:divBdr>
                                    </w:div>
                                    <w:div w:id="1350183070">
                                      <w:marLeft w:val="0"/>
                                      <w:marRight w:val="0"/>
                                      <w:marTop w:val="166"/>
                                      <w:marBottom w:val="166"/>
                                      <w:divBdr>
                                        <w:top w:val="none" w:sz="0" w:space="0" w:color="auto"/>
                                        <w:left w:val="none" w:sz="0" w:space="0" w:color="auto"/>
                                        <w:bottom w:val="none" w:sz="0" w:space="0" w:color="auto"/>
                                        <w:right w:val="none" w:sz="0" w:space="0" w:color="auto"/>
                                      </w:divBdr>
                                    </w:div>
                                    <w:div w:id="1499496389">
                                      <w:marLeft w:val="0"/>
                                      <w:marRight w:val="0"/>
                                      <w:marTop w:val="166"/>
                                      <w:marBottom w:val="166"/>
                                      <w:divBdr>
                                        <w:top w:val="none" w:sz="0" w:space="0" w:color="auto"/>
                                        <w:left w:val="none" w:sz="0" w:space="0" w:color="auto"/>
                                        <w:bottom w:val="none" w:sz="0" w:space="0" w:color="auto"/>
                                        <w:right w:val="none" w:sz="0" w:space="0" w:color="auto"/>
                                      </w:divBdr>
                                    </w:div>
                                    <w:div w:id="1340933937">
                                      <w:marLeft w:val="0"/>
                                      <w:marRight w:val="0"/>
                                      <w:marTop w:val="166"/>
                                      <w:marBottom w:val="166"/>
                                      <w:divBdr>
                                        <w:top w:val="none" w:sz="0" w:space="0" w:color="auto"/>
                                        <w:left w:val="none" w:sz="0" w:space="0" w:color="auto"/>
                                        <w:bottom w:val="none" w:sz="0" w:space="0" w:color="auto"/>
                                        <w:right w:val="none" w:sz="0" w:space="0" w:color="auto"/>
                                      </w:divBdr>
                                    </w:div>
                                    <w:div w:id="2105034294">
                                      <w:marLeft w:val="0"/>
                                      <w:marRight w:val="0"/>
                                      <w:marTop w:val="166"/>
                                      <w:marBottom w:val="166"/>
                                      <w:divBdr>
                                        <w:top w:val="none" w:sz="0" w:space="0" w:color="auto"/>
                                        <w:left w:val="none" w:sz="0" w:space="0" w:color="auto"/>
                                        <w:bottom w:val="none" w:sz="0" w:space="0" w:color="auto"/>
                                        <w:right w:val="none" w:sz="0" w:space="0" w:color="auto"/>
                                      </w:divBdr>
                                    </w:div>
                                    <w:div w:id="361824409">
                                      <w:marLeft w:val="0"/>
                                      <w:marRight w:val="0"/>
                                      <w:marTop w:val="166"/>
                                      <w:marBottom w:val="166"/>
                                      <w:divBdr>
                                        <w:top w:val="none" w:sz="0" w:space="0" w:color="auto"/>
                                        <w:left w:val="none" w:sz="0" w:space="0" w:color="auto"/>
                                        <w:bottom w:val="none" w:sz="0" w:space="0" w:color="auto"/>
                                        <w:right w:val="none" w:sz="0" w:space="0" w:color="auto"/>
                                      </w:divBdr>
                                    </w:div>
                                    <w:div w:id="1775788776">
                                      <w:marLeft w:val="0"/>
                                      <w:marRight w:val="0"/>
                                      <w:marTop w:val="166"/>
                                      <w:marBottom w:val="166"/>
                                      <w:divBdr>
                                        <w:top w:val="none" w:sz="0" w:space="0" w:color="auto"/>
                                        <w:left w:val="none" w:sz="0" w:space="0" w:color="auto"/>
                                        <w:bottom w:val="none" w:sz="0" w:space="0" w:color="auto"/>
                                        <w:right w:val="none" w:sz="0" w:space="0" w:color="auto"/>
                                      </w:divBdr>
                                    </w:div>
                                    <w:div w:id="101263980">
                                      <w:marLeft w:val="0"/>
                                      <w:marRight w:val="0"/>
                                      <w:marTop w:val="166"/>
                                      <w:marBottom w:val="166"/>
                                      <w:divBdr>
                                        <w:top w:val="none" w:sz="0" w:space="0" w:color="auto"/>
                                        <w:left w:val="none" w:sz="0" w:space="0" w:color="auto"/>
                                        <w:bottom w:val="none" w:sz="0" w:space="0" w:color="auto"/>
                                        <w:right w:val="none" w:sz="0" w:space="0" w:color="auto"/>
                                      </w:divBdr>
                                    </w:div>
                                    <w:div w:id="1991010952">
                                      <w:marLeft w:val="0"/>
                                      <w:marRight w:val="0"/>
                                      <w:marTop w:val="166"/>
                                      <w:marBottom w:val="166"/>
                                      <w:divBdr>
                                        <w:top w:val="none" w:sz="0" w:space="0" w:color="auto"/>
                                        <w:left w:val="none" w:sz="0" w:space="0" w:color="auto"/>
                                        <w:bottom w:val="none" w:sz="0" w:space="0" w:color="auto"/>
                                        <w:right w:val="none" w:sz="0" w:space="0" w:color="auto"/>
                                      </w:divBdr>
                                    </w:div>
                                    <w:div w:id="286548964">
                                      <w:marLeft w:val="0"/>
                                      <w:marRight w:val="0"/>
                                      <w:marTop w:val="166"/>
                                      <w:marBottom w:val="166"/>
                                      <w:divBdr>
                                        <w:top w:val="none" w:sz="0" w:space="0" w:color="auto"/>
                                        <w:left w:val="none" w:sz="0" w:space="0" w:color="auto"/>
                                        <w:bottom w:val="none" w:sz="0" w:space="0" w:color="auto"/>
                                        <w:right w:val="none" w:sz="0" w:space="0" w:color="auto"/>
                                      </w:divBdr>
                                    </w:div>
                                    <w:div w:id="1026252462">
                                      <w:marLeft w:val="0"/>
                                      <w:marRight w:val="0"/>
                                      <w:marTop w:val="166"/>
                                      <w:marBottom w:val="166"/>
                                      <w:divBdr>
                                        <w:top w:val="none" w:sz="0" w:space="0" w:color="auto"/>
                                        <w:left w:val="none" w:sz="0" w:space="0" w:color="auto"/>
                                        <w:bottom w:val="none" w:sz="0" w:space="0" w:color="auto"/>
                                        <w:right w:val="none" w:sz="0" w:space="0" w:color="auto"/>
                                      </w:divBdr>
                                    </w:div>
                                    <w:div w:id="1602956128">
                                      <w:marLeft w:val="0"/>
                                      <w:marRight w:val="0"/>
                                      <w:marTop w:val="166"/>
                                      <w:marBottom w:val="166"/>
                                      <w:divBdr>
                                        <w:top w:val="none" w:sz="0" w:space="0" w:color="auto"/>
                                        <w:left w:val="none" w:sz="0" w:space="0" w:color="auto"/>
                                        <w:bottom w:val="none" w:sz="0" w:space="0" w:color="auto"/>
                                        <w:right w:val="none" w:sz="0" w:space="0" w:color="auto"/>
                                      </w:divBdr>
                                    </w:div>
                                    <w:div w:id="87388530">
                                      <w:marLeft w:val="0"/>
                                      <w:marRight w:val="0"/>
                                      <w:marTop w:val="166"/>
                                      <w:marBottom w:val="166"/>
                                      <w:divBdr>
                                        <w:top w:val="none" w:sz="0" w:space="0" w:color="auto"/>
                                        <w:left w:val="none" w:sz="0" w:space="0" w:color="auto"/>
                                        <w:bottom w:val="none" w:sz="0" w:space="0" w:color="auto"/>
                                        <w:right w:val="none" w:sz="0" w:space="0" w:color="auto"/>
                                      </w:divBdr>
                                    </w:div>
                                    <w:div w:id="1481775158">
                                      <w:marLeft w:val="0"/>
                                      <w:marRight w:val="0"/>
                                      <w:marTop w:val="166"/>
                                      <w:marBottom w:val="166"/>
                                      <w:divBdr>
                                        <w:top w:val="none" w:sz="0" w:space="0" w:color="auto"/>
                                        <w:left w:val="none" w:sz="0" w:space="0" w:color="auto"/>
                                        <w:bottom w:val="none" w:sz="0" w:space="0" w:color="auto"/>
                                        <w:right w:val="none" w:sz="0" w:space="0" w:color="auto"/>
                                      </w:divBdr>
                                    </w:div>
                                    <w:div w:id="1290286784">
                                      <w:marLeft w:val="0"/>
                                      <w:marRight w:val="0"/>
                                      <w:marTop w:val="166"/>
                                      <w:marBottom w:val="166"/>
                                      <w:divBdr>
                                        <w:top w:val="none" w:sz="0" w:space="0" w:color="auto"/>
                                        <w:left w:val="none" w:sz="0" w:space="0" w:color="auto"/>
                                        <w:bottom w:val="none" w:sz="0" w:space="0" w:color="auto"/>
                                        <w:right w:val="none" w:sz="0" w:space="0" w:color="auto"/>
                                      </w:divBdr>
                                    </w:div>
                                    <w:div w:id="2077701924">
                                      <w:marLeft w:val="0"/>
                                      <w:marRight w:val="0"/>
                                      <w:marTop w:val="166"/>
                                      <w:marBottom w:val="166"/>
                                      <w:divBdr>
                                        <w:top w:val="none" w:sz="0" w:space="0" w:color="auto"/>
                                        <w:left w:val="none" w:sz="0" w:space="0" w:color="auto"/>
                                        <w:bottom w:val="none" w:sz="0" w:space="0" w:color="auto"/>
                                        <w:right w:val="none" w:sz="0" w:space="0" w:color="auto"/>
                                      </w:divBdr>
                                    </w:div>
                                    <w:div w:id="2006787289">
                                      <w:marLeft w:val="0"/>
                                      <w:marRight w:val="0"/>
                                      <w:marTop w:val="166"/>
                                      <w:marBottom w:val="166"/>
                                      <w:divBdr>
                                        <w:top w:val="none" w:sz="0" w:space="0" w:color="auto"/>
                                        <w:left w:val="none" w:sz="0" w:space="0" w:color="auto"/>
                                        <w:bottom w:val="none" w:sz="0" w:space="0" w:color="auto"/>
                                        <w:right w:val="none" w:sz="0" w:space="0" w:color="auto"/>
                                      </w:divBdr>
                                    </w:div>
                                    <w:div w:id="728915251">
                                      <w:marLeft w:val="0"/>
                                      <w:marRight w:val="0"/>
                                      <w:marTop w:val="166"/>
                                      <w:marBottom w:val="166"/>
                                      <w:divBdr>
                                        <w:top w:val="none" w:sz="0" w:space="0" w:color="auto"/>
                                        <w:left w:val="none" w:sz="0" w:space="0" w:color="auto"/>
                                        <w:bottom w:val="none" w:sz="0" w:space="0" w:color="auto"/>
                                        <w:right w:val="none" w:sz="0" w:space="0" w:color="auto"/>
                                      </w:divBdr>
                                    </w:div>
                                    <w:div w:id="558831128">
                                      <w:marLeft w:val="0"/>
                                      <w:marRight w:val="0"/>
                                      <w:marTop w:val="166"/>
                                      <w:marBottom w:val="166"/>
                                      <w:divBdr>
                                        <w:top w:val="none" w:sz="0" w:space="0" w:color="auto"/>
                                        <w:left w:val="none" w:sz="0" w:space="0" w:color="auto"/>
                                        <w:bottom w:val="none" w:sz="0" w:space="0" w:color="auto"/>
                                        <w:right w:val="none" w:sz="0" w:space="0" w:color="auto"/>
                                      </w:divBdr>
                                    </w:div>
                                    <w:div w:id="716853981">
                                      <w:marLeft w:val="0"/>
                                      <w:marRight w:val="0"/>
                                      <w:marTop w:val="166"/>
                                      <w:marBottom w:val="166"/>
                                      <w:divBdr>
                                        <w:top w:val="none" w:sz="0" w:space="0" w:color="auto"/>
                                        <w:left w:val="none" w:sz="0" w:space="0" w:color="auto"/>
                                        <w:bottom w:val="none" w:sz="0" w:space="0" w:color="auto"/>
                                        <w:right w:val="none" w:sz="0" w:space="0" w:color="auto"/>
                                      </w:divBdr>
                                    </w:div>
                                    <w:div w:id="430317655">
                                      <w:marLeft w:val="0"/>
                                      <w:marRight w:val="0"/>
                                      <w:marTop w:val="166"/>
                                      <w:marBottom w:val="166"/>
                                      <w:divBdr>
                                        <w:top w:val="none" w:sz="0" w:space="0" w:color="auto"/>
                                        <w:left w:val="none" w:sz="0" w:space="0" w:color="auto"/>
                                        <w:bottom w:val="none" w:sz="0" w:space="0" w:color="auto"/>
                                        <w:right w:val="none" w:sz="0" w:space="0" w:color="auto"/>
                                      </w:divBdr>
                                    </w:div>
                                    <w:div w:id="996417182">
                                      <w:marLeft w:val="0"/>
                                      <w:marRight w:val="0"/>
                                      <w:marTop w:val="166"/>
                                      <w:marBottom w:val="166"/>
                                      <w:divBdr>
                                        <w:top w:val="none" w:sz="0" w:space="0" w:color="auto"/>
                                        <w:left w:val="none" w:sz="0" w:space="0" w:color="auto"/>
                                        <w:bottom w:val="none" w:sz="0" w:space="0" w:color="auto"/>
                                        <w:right w:val="none" w:sz="0" w:space="0" w:color="auto"/>
                                      </w:divBdr>
                                    </w:div>
                                    <w:div w:id="832838160">
                                      <w:marLeft w:val="0"/>
                                      <w:marRight w:val="0"/>
                                      <w:marTop w:val="166"/>
                                      <w:marBottom w:val="16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11166">
              <w:marLeft w:val="0"/>
              <w:marRight w:val="-90"/>
              <w:marTop w:val="0"/>
              <w:marBottom w:val="0"/>
              <w:divBdr>
                <w:top w:val="none" w:sz="0" w:space="0" w:color="auto"/>
                <w:left w:val="none" w:sz="0" w:space="0" w:color="auto"/>
                <w:bottom w:val="none" w:sz="0" w:space="0" w:color="auto"/>
                <w:right w:val="none" w:sz="0" w:space="0" w:color="auto"/>
              </w:divBdr>
              <w:divsChild>
                <w:div w:id="976187111">
                  <w:marLeft w:val="0"/>
                  <w:marRight w:val="0"/>
                  <w:marTop w:val="0"/>
                  <w:marBottom w:val="0"/>
                  <w:divBdr>
                    <w:top w:val="none" w:sz="0" w:space="0" w:color="auto"/>
                    <w:left w:val="none" w:sz="0" w:space="0" w:color="auto"/>
                    <w:bottom w:val="none" w:sz="0" w:space="0" w:color="auto"/>
                    <w:right w:val="none" w:sz="0" w:space="0" w:color="auto"/>
                  </w:divBdr>
                  <w:divsChild>
                    <w:div w:id="1912957133">
                      <w:marLeft w:val="0"/>
                      <w:marRight w:val="0"/>
                      <w:marTop w:val="0"/>
                      <w:marBottom w:val="240"/>
                      <w:divBdr>
                        <w:top w:val="none" w:sz="0" w:space="0" w:color="auto"/>
                        <w:left w:val="none" w:sz="0" w:space="0" w:color="auto"/>
                        <w:bottom w:val="none" w:sz="0" w:space="0" w:color="auto"/>
                        <w:right w:val="none" w:sz="0" w:space="0" w:color="auto"/>
                      </w:divBdr>
                    </w:div>
                  </w:divsChild>
                </w:div>
                <w:div w:id="46893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268116">
          <w:marLeft w:val="0"/>
          <w:marRight w:val="0"/>
          <w:marTop w:val="0"/>
          <w:marBottom w:val="0"/>
          <w:divBdr>
            <w:top w:val="none" w:sz="0" w:space="0" w:color="auto"/>
            <w:left w:val="none" w:sz="0" w:space="0" w:color="auto"/>
            <w:bottom w:val="none" w:sz="0" w:space="0" w:color="auto"/>
            <w:right w:val="none" w:sz="0" w:space="0" w:color="auto"/>
          </w:divBdr>
        </w:div>
        <w:div w:id="1374966344">
          <w:marLeft w:val="0"/>
          <w:marRight w:val="0"/>
          <w:marTop w:val="240"/>
          <w:marBottom w:val="720"/>
          <w:divBdr>
            <w:top w:val="none" w:sz="0" w:space="0" w:color="auto"/>
            <w:left w:val="none" w:sz="0" w:space="0" w:color="auto"/>
            <w:bottom w:val="none" w:sz="0" w:space="0" w:color="auto"/>
            <w:right w:val="none" w:sz="0" w:space="0" w:color="auto"/>
          </w:divBdr>
          <w:divsChild>
            <w:div w:id="192075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cbi.nlm.nih.gov/pmc/articles/PMC4124742/" TargetMode="External"/><Relationship Id="rId299" Type="http://schemas.openxmlformats.org/officeDocument/2006/relationships/hyperlink" Target="https://www.ncbi.nlm.nih.gov/pubmed/18569021" TargetMode="External"/><Relationship Id="rId303" Type="http://schemas.openxmlformats.org/officeDocument/2006/relationships/hyperlink" Target="https://www.ncbi.nlm.nih.gov/pubmed/12546390" TargetMode="External"/><Relationship Id="rId21" Type="http://schemas.openxmlformats.org/officeDocument/2006/relationships/hyperlink" Target="file:///C:\Users\MonluxMD\Desktop\orginized%20files\Marshall%20Thurber\C60%20toxcity\C60%20NIH%20report.html" TargetMode="External"/><Relationship Id="rId42" Type="http://schemas.openxmlformats.org/officeDocument/2006/relationships/hyperlink" Target="https://www.ncbi.nlm.nih.gov/pmc/articles/PMC4124742/" TargetMode="External"/><Relationship Id="rId63" Type="http://schemas.openxmlformats.org/officeDocument/2006/relationships/hyperlink" Target="https://www.ncbi.nlm.nih.gov/pmc/articles/PMC4124742/" TargetMode="External"/><Relationship Id="rId84" Type="http://schemas.openxmlformats.org/officeDocument/2006/relationships/hyperlink" Target="https://www.ncbi.nlm.nih.gov/pmc/articles/PMC4124742/figure/F3/" TargetMode="External"/><Relationship Id="rId138" Type="http://schemas.openxmlformats.org/officeDocument/2006/relationships/hyperlink" Target="https://www.ncbi.nlm.nih.gov/pmc/articles/PMC4124742/" TargetMode="External"/><Relationship Id="rId159" Type="http://schemas.openxmlformats.org/officeDocument/2006/relationships/hyperlink" Target="https://www.ncbi.nlm.nih.gov/pmc/articles/PMC4124742/" TargetMode="External"/><Relationship Id="rId324" Type="http://schemas.openxmlformats.org/officeDocument/2006/relationships/hyperlink" Target="https://plus.google.com/share?url=https://www.ncbi.nlm.nih.gov/pmc/articles/PMC4124742/" TargetMode="External"/><Relationship Id="rId170" Type="http://schemas.openxmlformats.org/officeDocument/2006/relationships/hyperlink" Target="https://www.ncbi.nlm.nih.gov/pmc/articles/PMC4124742/" TargetMode="External"/><Relationship Id="rId191" Type="http://schemas.openxmlformats.org/officeDocument/2006/relationships/hyperlink" Target="https://www.ncbi.nlm.nih.gov/pmc/articles/PMC2676811/" TargetMode="External"/><Relationship Id="rId205" Type="http://schemas.openxmlformats.org/officeDocument/2006/relationships/hyperlink" Target="https://www.ncbi.nlm.nih.gov/pubmed/12135775" TargetMode="External"/><Relationship Id="rId226" Type="http://schemas.openxmlformats.org/officeDocument/2006/relationships/hyperlink" Target="https://www.ncbi.nlm.nih.gov/pubmed/19764224" TargetMode="External"/><Relationship Id="rId247" Type="http://schemas.openxmlformats.org/officeDocument/2006/relationships/hyperlink" Target="https://www.ncbi.nlm.nih.gov/pubmed/11773609" TargetMode="External"/><Relationship Id="rId107" Type="http://schemas.openxmlformats.org/officeDocument/2006/relationships/hyperlink" Target="https://www.ncbi.nlm.nih.gov/pmc/articles/PMC4124742/" TargetMode="External"/><Relationship Id="rId268" Type="http://schemas.openxmlformats.org/officeDocument/2006/relationships/hyperlink" Target="https://www.ncbi.nlm.nih.gov/pubmed/3497539" TargetMode="External"/><Relationship Id="rId289" Type="http://schemas.openxmlformats.org/officeDocument/2006/relationships/hyperlink" Target="https://www.ncbi.nlm.nih.gov/pubmed/8296315" TargetMode="External"/><Relationship Id="rId11" Type="http://schemas.openxmlformats.org/officeDocument/2006/relationships/hyperlink" Target="https://www.ncbi.nlm.nih.gov/pubmed/?term=Li%20XJ%5BAuthor%5D&amp;cauthor=true&amp;cauthor_uid=24409811" TargetMode="External"/><Relationship Id="rId32" Type="http://schemas.openxmlformats.org/officeDocument/2006/relationships/hyperlink" Target="file:///C:\Users\MonluxMD\Desktop\orginized%20files\Marshall%20Thurber\C60%20toxcity\C60%20NIH%20report.html" TargetMode="External"/><Relationship Id="rId53" Type="http://schemas.openxmlformats.org/officeDocument/2006/relationships/hyperlink" Target="https://www.ncbi.nlm.nih.gov/pmc/articles/PMC4124742/" TargetMode="External"/><Relationship Id="rId74" Type="http://schemas.openxmlformats.org/officeDocument/2006/relationships/hyperlink" Target="file:///C:\Users\MonluxMD\Desktop\orginized%20files\Marshall%20Thurber\C60%20toxcity\C60%20NIH%20report.html" TargetMode="External"/><Relationship Id="rId128" Type="http://schemas.openxmlformats.org/officeDocument/2006/relationships/hyperlink" Target="https://www.ncbi.nlm.nih.gov/pmc/articles/PMC4124742/" TargetMode="External"/><Relationship Id="rId149" Type="http://schemas.openxmlformats.org/officeDocument/2006/relationships/hyperlink" Target="https://www.ncbi.nlm.nih.gov/pmc/articles/PMC4124742/" TargetMode="External"/><Relationship Id="rId314" Type="http://schemas.openxmlformats.org/officeDocument/2006/relationships/hyperlink" Target="https://www.ncbi.nlm.nih.gov/pmc/articles/PMC4124742/epub/" TargetMode="External"/><Relationship Id="rId5" Type="http://schemas.openxmlformats.org/officeDocument/2006/relationships/hyperlink" Target="https://www.ncbi.nlm.nih.gov/pmc/articles/PMC4124742/" TargetMode="External"/><Relationship Id="rId95" Type="http://schemas.openxmlformats.org/officeDocument/2006/relationships/hyperlink" Target="https://www.ncbi.nlm.nih.gov/pmc/articles/PMC4124742/" TargetMode="External"/><Relationship Id="rId160" Type="http://schemas.openxmlformats.org/officeDocument/2006/relationships/hyperlink" Target="https://www.ncbi.nlm.nih.gov/pmc/articles/PMC4124742/" TargetMode="External"/><Relationship Id="rId181" Type="http://schemas.openxmlformats.org/officeDocument/2006/relationships/hyperlink" Target="https://www.ncbi.nlm.nih.gov/pmc/articles/PMC3454471/" TargetMode="External"/><Relationship Id="rId216" Type="http://schemas.openxmlformats.org/officeDocument/2006/relationships/hyperlink" Target="https://www.ncbi.nlm.nih.gov/pubmed/20582595" TargetMode="External"/><Relationship Id="rId237" Type="http://schemas.openxmlformats.org/officeDocument/2006/relationships/hyperlink" Target="https://www.ncbi.nlm.nih.gov/pubmed/10220440" TargetMode="External"/><Relationship Id="rId258" Type="http://schemas.openxmlformats.org/officeDocument/2006/relationships/hyperlink" Target="https://www.ncbi.nlm.nih.gov/pmc/articles/PMC3668354/" TargetMode="External"/><Relationship Id="rId279" Type="http://schemas.openxmlformats.org/officeDocument/2006/relationships/hyperlink" Target="https://www.ncbi.nlm.nih.gov/pubmed/18723357" TargetMode="External"/><Relationship Id="rId22" Type="http://schemas.openxmlformats.org/officeDocument/2006/relationships/hyperlink" Target="https://www.ncbi.nlm.nih.gov/pmc/articles/PMC4124742/" TargetMode="External"/><Relationship Id="rId43" Type="http://schemas.openxmlformats.org/officeDocument/2006/relationships/hyperlink" Target="https://www.ncbi.nlm.nih.gov/pmc/articles/PMC4124742/figure/F2/" TargetMode="External"/><Relationship Id="rId64" Type="http://schemas.openxmlformats.org/officeDocument/2006/relationships/hyperlink" Target="https://www.ncbi.nlm.nih.gov/pmc/articles/PMC4124742/" TargetMode="External"/><Relationship Id="rId118" Type="http://schemas.openxmlformats.org/officeDocument/2006/relationships/hyperlink" Target="https://www.ncbi.nlm.nih.gov/pmc/articles/PMC4124742/" TargetMode="External"/><Relationship Id="rId139" Type="http://schemas.openxmlformats.org/officeDocument/2006/relationships/hyperlink" Target="https://www.ncbi.nlm.nih.gov/pmc/articles/PMC4124742/" TargetMode="External"/><Relationship Id="rId290" Type="http://schemas.openxmlformats.org/officeDocument/2006/relationships/hyperlink" Target="https://www.ncbi.nlm.nih.gov/pubmed/23657046" TargetMode="External"/><Relationship Id="rId304" Type="http://schemas.openxmlformats.org/officeDocument/2006/relationships/hyperlink" Target="https://www.ncbi.nlm.nih.gov/pmc/articles/PMC3610507/" TargetMode="External"/><Relationship Id="rId325" Type="http://schemas.openxmlformats.org/officeDocument/2006/relationships/image" Target="media/image8.png"/><Relationship Id="rId85" Type="http://schemas.openxmlformats.org/officeDocument/2006/relationships/hyperlink" Target="https://www.ncbi.nlm.nih.gov/core/lw/2.0/html/tileshop_pmc/tileshop_pmc_inline.html?title=Click%20on%20image%20to%20zoom&amp;p=PMC3&amp;id=4124742_nihms608096f3.jpg" TargetMode="External"/><Relationship Id="rId150" Type="http://schemas.openxmlformats.org/officeDocument/2006/relationships/hyperlink" Target="file:///C:\Users\MonluxMD\Desktop\orginized%20files\Marshall%20Thurber\C60%20toxcity\C60%20NIH%20report.html" TargetMode="External"/><Relationship Id="rId171" Type="http://schemas.openxmlformats.org/officeDocument/2006/relationships/hyperlink" Target="file:///C:\Users\MonluxMD\Desktop\orginized%20files\Marshall%20Thurber\C60%20toxcity\C60%20NIH%20report.html" TargetMode="External"/><Relationship Id="rId192" Type="http://schemas.openxmlformats.org/officeDocument/2006/relationships/hyperlink" Target="https://www.ncbi.nlm.nih.gov/pubmed/18203430" TargetMode="External"/><Relationship Id="rId206" Type="http://schemas.openxmlformats.org/officeDocument/2006/relationships/hyperlink" Target="https://www.ncbi.nlm.nih.gov/pubmed/10098871" TargetMode="External"/><Relationship Id="rId227" Type="http://schemas.openxmlformats.org/officeDocument/2006/relationships/hyperlink" Target="https://www.ncbi.nlm.nih.gov/pubmed/10398502" TargetMode="External"/><Relationship Id="rId248" Type="http://schemas.openxmlformats.org/officeDocument/2006/relationships/hyperlink" Target="https://www.ncbi.nlm.nih.gov/pubmed/12633375" TargetMode="External"/><Relationship Id="rId269" Type="http://schemas.openxmlformats.org/officeDocument/2006/relationships/hyperlink" Target="https://www.ncbi.nlm.nih.gov/pubmed/908695" TargetMode="External"/><Relationship Id="rId12" Type="http://schemas.openxmlformats.org/officeDocument/2006/relationships/hyperlink" Target="https://www.ncbi.nlm.nih.gov/pubmed/?term=Jin%20L%5BAuthor%5D&amp;cauthor=true&amp;cauthor_uid=24409811" TargetMode="External"/><Relationship Id="rId33" Type="http://schemas.openxmlformats.org/officeDocument/2006/relationships/hyperlink" Target="https://www.ncbi.nlm.nih.gov/pmc/articles/PMC4124742/" TargetMode="External"/><Relationship Id="rId108" Type="http://schemas.openxmlformats.org/officeDocument/2006/relationships/hyperlink" Target="https://www.ncbi.nlm.nih.gov/pmc/articles/PMC4124742/" TargetMode="External"/><Relationship Id="rId129" Type="http://schemas.openxmlformats.org/officeDocument/2006/relationships/hyperlink" Target="https://www.ncbi.nlm.nih.gov/pmc/articles/PMC4124742/" TargetMode="External"/><Relationship Id="rId280" Type="http://schemas.openxmlformats.org/officeDocument/2006/relationships/hyperlink" Target="https://www.ncbi.nlm.nih.gov/pmc/articles/PMC2358981/" TargetMode="External"/><Relationship Id="rId315" Type="http://schemas.openxmlformats.org/officeDocument/2006/relationships/hyperlink" Target="https://www.ncbi.nlm.nih.gov/pmc/articles/PMC4124742/pdf/nihms608096.pdf" TargetMode="External"/><Relationship Id="rId54" Type="http://schemas.openxmlformats.org/officeDocument/2006/relationships/hyperlink" Target="https://www.ncbi.nlm.nih.gov/pmc/articles/PMC4124742/" TargetMode="External"/><Relationship Id="rId75" Type="http://schemas.openxmlformats.org/officeDocument/2006/relationships/hyperlink" Target="https://www.ncbi.nlm.nih.gov/pmc/articles/PMC4124742/" TargetMode="External"/><Relationship Id="rId96" Type="http://schemas.openxmlformats.org/officeDocument/2006/relationships/hyperlink" Target="https://www.ncbi.nlm.nih.gov/pmc/articles/PMC4124742/" TargetMode="External"/><Relationship Id="rId140" Type="http://schemas.openxmlformats.org/officeDocument/2006/relationships/hyperlink" Target="https://www.ncbi.nlm.nih.gov/pmc/articles/PMC4124742/" TargetMode="External"/><Relationship Id="rId161" Type="http://schemas.openxmlformats.org/officeDocument/2006/relationships/hyperlink" Target="https://www.ncbi.nlm.nih.gov/pmc/articles/PMC4124742/" TargetMode="External"/><Relationship Id="rId182" Type="http://schemas.openxmlformats.org/officeDocument/2006/relationships/hyperlink" Target="https://www.ncbi.nlm.nih.gov/pubmed/22286106" TargetMode="External"/><Relationship Id="rId217" Type="http://schemas.openxmlformats.org/officeDocument/2006/relationships/hyperlink" Target="https://www.ncbi.nlm.nih.gov/pubmed/17317115" TargetMode="External"/><Relationship Id="rId6" Type="http://schemas.openxmlformats.org/officeDocument/2006/relationships/hyperlink" Target="https://www.ncbi.nlm.nih.gov/entrez/eutils/elink.fcgi?dbfrom=pubmed&amp;retmode=ref&amp;cmd=prlinks&amp;id=24409811" TargetMode="External"/><Relationship Id="rId238" Type="http://schemas.openxmlformats.org/officeDocument/2006/relationships/hyperlink" Target="https://www.ncbi.nlm.nih.gov/pubmed/12234597" TargetMode="External"/><Relationship Id="rId259" Type="http://schemas.openxmlformats.org/officeDocument/2006/relationships/hyperlink" Target="https://www.ncbi.nlm.nih.gov/pubmed/23389888" TargetMode="External"/><Relationship Id="rId23" Type="http://schemas.openxmlformats.org/officeDocument/2006/relationships/hyperlink" Target="https://www.ncbi.nlm.nih.gov/pmc/articles/PMC4124742/" TargetMode="External"/><Relationship Id="rId119" Type="http://schemas.openxmlformats.org/officeDocument/2006/relationships/hyperlink" Target="https://www.ncbi.nlm.nih.gov/pmc/articles/PMC4124742/" TargetMode="External"/><Relationship Id="rId270" Type="http://schemas.openxmlformats.org/officeDocument/2006/relationships/hyperlink" Target="https://www.ncbi.nlm.nih.gov/pubmed/11145813" TargetMode="External"/><Relationship Id="rId291" Type="http://schemas.openxmlformats.org/officeDocument/2006/relationships/hyperlink" Target="https://www.ncbi.nlm.nih.gov/pubmed/23380015" TargetMode="External"/><Relationship Id="rId305" Type="http://schemas.openxmlformats.org/officeDocument/2006/relationships/hyperlink" Target="https://www.ncbi.nlm.nih.gov/pubmed/11956921" TargetMode="External"/><Relationship Id="rId326" Type="http://schemas.openxmlformats.org/officeDocument/2006/relationships/hyperlink" Target="https://www.ncbi.nlm.nih.gov/pmc/articles/PMC4124742/" TargetMode="External"/><Relationship Id="rId44" Type="http://schemas.openxmlformats.org/officeDocument/2006/relationships/hyperlink" Target="https://www.ncbi.nlm.nih.gov/pmc/articles/PMC4124742/" TargetMode="External"/><Relationship Id="rId65" Type="http://schemas.openxmlformats.org/officeDocument/2006/relationships/hyperlink" Target="https://www.ncbi.nlm.nih.gov/pmc/articles/PMC4124742/" TargetMode="External"/><Relationship Id="rId86" Type="http://schemas.openxmlformats.org/officeDocument/2006/relationships/image" Target="media/image3.jpeg"/><Relationship Id="rId130" Type="http://schemas.openxmlformats.org/officeDocument/2006/relationships/hyperlink" Target="https://www.ncbi.nlm.nih.gov/pmc/articles/PMC4124742/" TargetMode="External"/><Relationship Id="rId151" Type="http://schemas.openxmlformats.org/officeDocument/2006/relationships/hyperlink" Target="https://www.ncbi.nlm.nih.gov/pmc/articles/PMC4124742/" TargetMode="External"/><Relationship Id="rId172" Type="http://schemas.openxmlformats.org/officeDocument/2006/relationships/hyperlink" Target="https://www.ncbi.nlm.nih.gov/pmc/articles/PMC4124742/" TargetMode="External"/><Relationship Id="rId193" Type="http://schemas.openxmlformats.org/officeDocument/2006/relationships/hyperlink" Target="https://www.ncbi.nlm.nih.gov/pubmed/14622027" TargetMode="External"/><Relationship Id="rId207" Type="http://schemas.openxmlformats.org/officeDocument/2006/relationships/hyperlink" Target="https://www.ncbi.nlm.nih.gov/pubmed/16351219" TargetMode="External"/><Relationship Id="rId228" Type="http://schemas.openxmlformats.org/officeDocument/2006/relationships/hyperlink" Target="https://www.ncbi.nlm.nih.gov/pubmed/21883040" TargetMode="External"/><Relationship Id="rId249" Type="http://schemas.openxmlformats.org/officeDocument/2006/relationships/hyperlink" Target="https://www.ncbi.nlm.nih.gov/pubmed/20953930" TargetMode="External"/><Relationship Id="rId13" Type="http://schemas.openxmlformats.org/officeDocument/2006/relationships/hyperlink" Target="https://www.ncbi.nlm.nih.gov/pmc/articles/PMC4124742/" TargetMode="External"/><Relationship Id="rId109" Type="http://schemas.openxmlformats.org/officeDocument/2006/relationships/hyperlink" Target="https://www.ncbi.nlm.nih.gov/pmc/articles/PMC4124742/" TargetMode="External"/><Relationship Id="rId260" Type="http://schemas.openxmlformats.org/officeDocument/2006/relationships/hyperlink" Target="https://www.ncbi.nlm.nih.gov/pubmed/11979160" TargetMode="External"/><Relationship Id="rId281" Type="http://schemas.openxmlformats.org/officeDocument/2006/relationships/hyperlink" Target="https://www.ncbi.nlm.nih.gov/pubmed/18234258" TargetMode="External"/><Relationship Id="rId316" Type="http://schemas.openxmlformats.org/officeDocument/2006/relationships/hyperlink" Target="https://www.ncbi.nlm.nih.gov/pmc/articles/PMC4124742/" TargetMode="External"/><Relationship Id="rId34" Type="http://schemas.openxmlformats.org/officeDocument/2006/relationships/hyperlink" Target="https://www.ncbi.nlm.nih.gov/pmc/articles/PMC4124742/" TargetMode="External"/><Relationship Id="rId55" Type="http://schemas.openxmlformats.org/officeDocument/2006/relationships/hyperlink" Target="https://www.ncbi.nlm.nih.gov/pmc/articles/PMC4124742/" TargetMode="External"/><Relationship Id="rId76" Type="http://schemas.openxmlformats.org/officeDocument/2006/relationships/hyperlink" Target="https://www.ncbi.nlm.nih.gov/pmc/articles/PMC4124742/" TargetMode="External"/><Relationship Id="rId97" Type="http://schemas.openxmlformats.org/officeDocument/2006/relationships/hyperlink" Target="https://www.ncbi.nlm.nih.gov/pmc/articles/PMC4124742/" TargetMode="External"/><Relationship Id="rId120" Type="http://schemas.openxmlformats.org/officeDocument/2006/relationships/hyperlink" Target="https://www.ncbi.nlm.nih.gov/pmc/articles/PMC4124742/figure/F5/" TargetMode="External"/><Relationship Id="rId141" Type="http://schemas.openxmlformats.org/officeDocument/2006/relationships/hyperlink" Target="https://www.ncbi.nlm.nih.gov/pmc/articles/PMC4124742/" TargetMode="External"/><Relationship Id="rId7" Type="http://schemas.openxmlformats.org/officeDocument/2006/relationships/hyperlink" Target="https://dx.doi.org/10.3109%2F03008207.2013.877894" TargetMode="External"/><Relationship Id="rId162" Type="http://schemas.openxmlformats.org/officeDocument/2006/relationships/hyperlink" Target="https://www.ncbi.nlm.nih.gov/pmc/articles/PMC4124742/" TargetMode="External"/><Relationship Id="rId183" Type="http://schemas.openxmlformats.org/officeDocument/2006/relationships/hyperlink" Target="https://www.ncbi.nlm.nih.gov/pubmed/10754280" TargetMode="External"/><Relationship Id="rId218" Type="http://schemas.openxmlformats.org/officeDocument/2006/relationships/hyperlink" Target="https://www.ncbi.nlm.nih.gov/pubmed/17674810" TargetMode="External"/><Relationship Id="rId239" Type="http://schemas.openxmlformats.org/officeDocument/2006/relationships/hyperlink" Target="https://www.ncbi.nlm.nih.gov/pubmed/7832801" TargetMode="External"/><Relationship Id="rId250" Type="http://schemas.openxmlformats.org/officeDocument/2006/relationships/hyperlink" Target="https://www.ncbi.nlm.nih.gov/pubmed/22570221" TargetMode="External"/><Relationship Id="rId271" Type="http://schemas.openxmlformats.org/officeDocument/2006/relationships/hyperlink" Target="https://www.ncbi.nlm.nih.gov/pmc/articles/PMC3841235/" TargetMode="External"/><Relationship Id="rId292" Type="http://schemas.openxmlformats.org/officeDocument/2006/relationships/hyperlink" Target="https://www.ncbi.nlm.nih.gov/pubmed/20822481" TargetMode="External"/><Relationship Id="rId306" Type="http://schemas.openxmlformats.org/officeDocument/2006/relationships/hyperlink" Target="https://www.ncbi.nlm.nih.gov/pubmed/11707703" TargetMode="External"/><Relationship Id="rId24" Type="http://schemas.openxmlformats.org/officeDocument/2006/relationships/hyperlink" Target="https://www.ncbi.nlm.nih.gov/pmc/articles/PMC4124742/figure/F1/" TargetMode="External"/><Relationship Id="rId45" Type="http://schemas.openxmlformats.org/officeDocument/2006/relationships/hyperlink" Target="https://www.ncbi.nlm.nih.gov/pmc/articles/PMC4124742/" TargetMode="External"/><Relationship Id="rId66" Type="http://schemas.openxmlformats.org/officeDocument/2006/relationships/hyperlink" Target="https://www.ncbi.nlm.nih.gov/pmc/articles/PMC4124742/" TargetMode="External"/><Relationship Id="rId87" Type="http://schemas.openxmlformats.org/officeDocument/2006/relationships/hyperlink" Target="https://www.ncbi.nlm.nih.gov/pmc/articles/PMC4124742/figure/F3/" TargetMode="External"/><Relationship Id="rId110" Type="http://schemas.openxmlformats.org/officeDocument/2006/relationships/hyperlink" Target="https://www.ncbi.nlm.nih.gov/pmc/articles/PMC4124742/" TargetMode="External"/><Relationship Id="rId131" Type="http://schemas.openxmlformats.org/officeDocument/2006/relationships/hyperlink" Target="https://www.ncbi.nlm.nih.gov/pmc/articles/PMC4124742/" TargetMode="External"/><Relationship Id="rId327" Type="http://schemas.openxmlformats.org/officeDocument/2006/relationships/hyperlink" Target="https://support.ncbi.nlm.nih.gov/ics/support/KBList.asp?Time=2018-09-16T09:04:05-04:00&amp;Snapshot=%2Fprojects%2FPMC%2FPMCViewer@4.46&amp;Host=ptpmc101&amp;ncbi_phid=8A1A1F0DB9E534110000000000E400D1&amp;ncbi_session=396B7CA5AB192B51_0198SID&amp;from=https%3A%2F%2Fwww.ncbi.nlm.nih.gov%2Fpmc%2Farticles%2FPMC4124742%2F&amp;Db=pmc&amp;folderID=132&amp;Ncbi_App=pmc&amp;Page=literature&amp;style=classic&amp;deptID=28049" TargetMode="External"/><Relationship Id="rId152" Type="http://schemas.openxmlformats.org/officeDocument/2006/relationships/hyperlink" Target="https://www.ncbi.nlm.nih.gov/pmc/articles/PMC4124742/" TargetMode="External"/><Relationship Id="rId173" Type="http://schemas.openxmlformats.org/officeDocument/2006/relationships/hyperlink" Target="file:///C:\Users\MonluxMD\Desktop\orginized%20files\Marshall%20Thurber\C60%20toxcity\C60%20NIH%20report.html" TargetMode="External"/><Relationship Id="rId194" Type="http://schemas.openxmlformats.org/officeDocument/2006/relationships/hyperlink" Target="https://www.ncbi.nlm.nih.gov/pubmed/21684329" TargetMode="External"/><Relationship Id="rId208" Type="http://schemas.openxmlformats.org/officeDocument/2006/relationships/hyperlink" Target="https://www.ncbi.nlm.nih.gov/pubmed/20491520" TargetMode="External"/><Relationship Id="rId229" Type="http://schemas.openxmlformats.org/officeDocument/2006/relationships/hyperlink" Target="https://www.ncbi.nlm.nih.gov/pubmed/16144396" TargetMode="External"/><Relationship Id="rId240" Type="http://schemas.openxmlformats.org/officeDocument/2006/relationships/hyperlink" Target="https://www.ncbi.nlm.nih.gov/pmc/articles/PMC2107486/" TargetMode="External"/><Relationship Id="rId261" Type="http://schemas.openxmlformats.org/officeDocument/2006/relationships/hyperlink" Target="https://www.ncbi.nlm.nih.gov/pmc/articles/PMC2206382/" TargetMode="External"/><Relationship Id="rId14" Type="http://schemas.openxmlformats.org/officeDocument/2006/relationships/hyperlink" Target="https://www.ncbi.nlm.nih.gov/pmc/articles/PMC4124742/" TargetMode="External"/><Relationship Id="rId30" Type="http://schemas.openxmlformats.org/officeDocument/2006/relationships/hyperlink" Target="https://www.ncbi.nlm.nih.gov/pmc/articles/PMC4124742/figure/F1/" TargetMode="External"/><Relationship Id="rId35" Type="http://schemas.openxmlformats.org/officeDocument/2006/relationships/hyperlink" Target="https://www.ncbi.nlm.nih.gov/pmc/articles/PMC4124742/" TargetMode="External"/><Relationship Id="rId56" Type="http://schemas.openxmlformats.org/officeDocument/2006/relationships/hyperlink" Target="https://www.ncbi.nlm.nih.gov/pmc/articles/PMC4124742/" TargetMode="External"/><Relationship Id="rId77" Type="http://schemas.openxmlformats.org/officeDocument/2006/relationships/hyperlink" Target="https://www.ncbi.nlm.nih.gov/pmc/articles/PMC4124742/" TargetMode="External"/><Relationship Id="rId100" Type="http://schemas.openxmlformats.org/officeDocument/2006/relationships/hyperlink" Target="https://www.ncbi.nlm.nih.gov/pmc/articles/PMC4124742/" TargetMode="External"/><Relationship Id="rId105" Type="http://schemas.openxmlformats.org/officeDocument/2006/relationships/hyperlink" Target="https://www.ncbi.nlm.nih.gov/pmc/articles/PMC4124742/" TargetMode="External"/><Relationship Id="rId126" Type="http://schemas.openxmlformats.org/officeDocument/2006/relationships/hyperlink" Target="https://www.ncbi.nlm.nih.gov/pmc/articles/PMC4124742/" TargetMode="External"/><Relationship Id="rId147" Type="http://schemas.openxmlformats.org/officeDocument/2006/relationships/hyperlink" Target="https://www.ncbi.nlm.nih.gov/pmc/articles/PMC4124742/" TargetMode="External"/><Relationship Id="rId168" Type="http://schemas.openxmlformats.org/officeDocument/2006/relationships/hyperlink" Target="https://www.ncbi.nlm.nih.gov/pmc/articles/PMC4124742/" TargetMode="External"/><Relationship Id="rId282" Type="http://schemas.openxmlformats.org/officeDocument/2006/relationships/hyperlink" Target="https://www.ncbi.nlm.nih.gov/pubmed/21719272" TargetMode="External"/><Relationship Id="rId312" Type="http://schemas.openxmlformats.org/officeDocument/2006/relationships/hyperlink" Target="https://www.ncbi.nlm.nih.gov/pubmed/20726522" TargetMode="External"/><Relationship Id="rId317" Type="http://schemas.openxmlformats.org/officeDocument/2006/relationships/hyperlink" Target="https://www.facebook.com/sharer/sharer.php?u=https%3A%2F%2Fwww.ncbi.nlm.nih.gov%2Fpmc%2Farticles%2FPMC4124742%2F" TargetMode="External"/><Relationship Id="rId8" Type="http://schemas.openxmlformats.org/officeDocument/2006/relationships/hyperlink" Target="https://www.ncbi.nlm.nih.gov/pubmed/24409811" TargetMode="External"/><Relationship Id="rId51" Type="http://schemas.openxmlformats.org/officeDocument/2006/relationships/hyperlink" Target="https://www.ncbi.nlm.nih.gov/pmc/articles/PMC4124742/" TargetMode="External"/><Relationship Id="rId72" Type="http://schemas.openxmlformats.org/officeDocument/2006/relationships/hyperlink" Target="https://www.ncbi.nlm.nih.gov/pmc/articles/PMC4124742/" TargetMode="External"/><Relationship Id="rId93" Type="http://schemas.openxmlformats.org/officeDocument/2006/relationships/image" Target="media/image4.jpeg"/><Relationship Id="rId98" Type="http://schemas.openxmlformats.org/officeDocument/2006/relationships/hyperlink" Target="https://www.ncbi.nlm.nih.gov/pmc/articles/PMC4124742/" TargetMode="External"/><Relationship Id="rId121" Type="http://schemas.openxmlformats.org/officeDocument/2006/relationships/image" Target="media/image5.jpeg"/><Relationship Id="rId142" Type="http://schemas.openxmlformats.org/officeDocument/2006/relationships/hyperlink" Target="https://www.ncbi.nlm.nih.gov/pmc/articles/PMC4124742/" TargetMode="External"/><Relationship Id="rId163" Type="http://schemas.openxmlformats.org/officeDocument/2006/relationships/hyperlink" Target="https://www.ncbi.nlm.nih.gov/pmc/articles/PMC4124742/" TargetMode="External"/><Relationship Id="rId184" Type="http://schemas.openxmlformats.org/officeDocument/2006/relationships/hyperlink" Target="https://www.ncbi.nlm.nih.gov/pmc/articles/PMC3546319/" TargetMode="External"/><Relationship Id="rId189" Type="http://schemas.openxmlformats.org/officeDocument/2006/relationships/hyperlink" Target="https://www.ncbi.nlm.nih.gov/pmc/articles/PMC2775694/" TargetMode="External"/><Relationship Id="rId219" Type="http://schemas.openxmlformats.org/officeDocument/2006/relationships/hyperlink" Target="https://www.ncbi.nlm.nih.gov/pubmed/10860539" TargetMode="External"/><Relationship Id="rId3" Type="http://schemas.openxmlformats.org/officeDocument/2006/relationships/settings" Target="settings.xml"/><Relationship Id="rId214" Type="http://schemas.openxmlformats.org/officeDocument/2006/relationships/hyperlink" Target="https://www.ncbi.nlm.nih.gov/pubmed/10693952" TargetMode="External"/><Relationship Id="rId230" Type="http://schemas.openxmlformats.org/officeDocument/2006/relationships/hyperlink" Target="https://www.ncbi.nlm.nih.gov/pubmed/23069706" TargetMode="External"/><Relationship Id="rId235" Type="http://schemas.openxmlformats.org/officeDocument/2006/relationships/hyperlink" Target="https://www.ncbi.nlm.nih.gov/pubmed/17583898" TargetMode="External"/><Relationship Id="rId251" Type="http://schemas.openxmlformats.org/officeDocument/2006/relationships/hyperlink" Target="https://www.ncbi.nlm.nih.gov/pmc/articles/PMC2835036/" TargetMode="External"/><Relationship Id="rId256" Type="http://schemas.openxmlformats.org/officeDocument/2006/relationships/hyperlink" Target="https://www.ncbi.nlm.nih.gov/pubmed/10470716" TargetMode="External"/><Relationship Id="rId277" Type="http://schemas.openxmlformats.org/officeDocument/2006/relationships/hyperlink" Target="https://www.ncbi.nlm.nih.gov/pmc/articles/PMC3731423/" TargetMode="External"/><Relationship Id="rId298" Type="http://schemas.openxmlformats.org/officeDocument/2006/relationships/hyperlink" Target="https://www.ncbi.nlm.nih.gov/pmc/articles/PMC3034080/" TargetMode="External"/><Relationship Id="rId25" Type="http://schemas.openxmlformats.org/officeDocument/2006/relationships/hyperlink" Target="https://www.ncbi.nlm.nih.gov/pmc/articles/PMC4124742/" TargetMode="External"/><Relationship Id="rId46" Type="http://schemas.openxmlformats.org/officeDocument/2006/relationships/hyperlink" Target="https://www.ncbi.nlm.nih.gov/core/lw/2.0/html/tileshop_pmc/tileshop_pmc_inline.html?title=Click%20on%20image%20to%20zoom&amp;p=PMC3&amp;id=4124742_nihms608096f2.jpg" TargetMode="External"/><Relationship Id="rId67" Type="http://schemas.openxmlformats.org/officeDocument/2006/relationships/hyperlink" Target="https://www.ncbi.nlm.nih.gov/pmc/articles/PMC4124742/" TargetMode="External"/><Relationship Id="rId116" Type="http://schemas.openxmlformats.org/officeDocument/2006/relationships/hyperlink" Target="https://www.ncbi.nlm.nih.gov/pmc/articles/PMC4124742/" TargetMode="External"/><Relationship Id="rId137" Type="http://schemas.openxmlformats.org/officeDocument/2006/relationships/hyperlink" Target="https://www.ncbi.nlm.nih.gov/pmc/articles/PMC4124742/" TargetMode="External"/><Relationship Id="rId158" Type="http://schemas.openxmlformats.org/officeDocument/2006/relationships/hyperlink" Target="https://www.ncbi.nlm.nih.gov/pmc/articles/PMC4124742/" TargetMode="External"/><Relationship Id="rId272" Type="http://schemas.openxmlformats.org/officeDocument/2006/relationships/hyperlink" Target="https://www.ncbi.nlm.nih.gov/pubmed/23669123" TargetMode="External"/><Relationship Id="rId293" Type="http://schemas.openxmlformats.org/officeDocument/2006/relationships/hyperlink" Target="https://www.ncbi.nlm.nih.gov/pmc/articles/PMC3626372/" TargetMode="External"/><Relationship Id="rId302" Type="http://schemas.openxmlformats.org/officeDocument/2006/relationships/hyperlink" Target="https://www.ncbi.nlm.nih.gov/pubmed/9281347" TargetMode="External"/><Relationship Id="rId307" Type="http://schemas.openxmlformats.org/officeDocument/2006/relationships/hyperlink" Target="https://www.ncbi.nlm.nih.gov/pubmed/8893760" TargetMode="External"/><Relationship Id="rId323" Type="http://schemas.openxmlformats.org/officeDocument/2006/relationships/hyperlink" Target="https://plus.google.com/share?url=https%3A%2F%2Fwww.ncbi.nlm.nih.gov%2Fpmc%2Farticles%2FPMC4124742%2F" TargetMode="External"/><Relationship Id="rId328" Type="http://schemas.openxmlformats.org/officeDocument/2006/relationships/hyperlink" Target="https://www.nlm.nih.gov/privacy.html" TargetMode="External"/><Relationship Id="rId20" Type="http://schemas.openxmlformats.org/officeDocument/2006/relationships/hyperlink" Target="https://www.ncbi.nlm.nih.gov/pmc/articles/PMC4124742/" TargetMode="External"/><Relationship Id="rId41" Type="http://schemas.openxmlformats.org/officeDocument/2006/relationships/hyperlink" Target="https://www.ncbi.nlm.nih.gov/pmc/articles/PMC4124742/" TargetMode="External"/><Relationship Id="rId62" Type="http://schemas.openxmlformats.org/officeDocument/2006/relationships/hyperlink" Target="https://www.ncbi.nlm.nih.gov/pmc/articles/PMC4124742/" TargetMode="External"/><Relationship Id="rId83" Type="http://schemas.openxmlformats.org/officeDocument/2006/relationships/hyperlink" Target="https://www.ncbi.nlm.nih.gov/pmc/articles/PMC4124742/" TargetMode="External"/><Relationship Id="rId88" Type="http://schemas.openxmlformats.org/officeDocument/2006/relationships/hyperlink" Target="https://www.ncbi.nlm.nih.gov/pmc/articles/PMC4124742/" TargetMode="External"/><Relationship Id="rId111" Type="http://schemas.openxmlformats.org/officeDocument/2006/relationships/hyperlink" Target="https://www.ncbi.nlm.nih.gov/pmc/articles/PMC4124742/" TargetMode="External"/><Relationship Id="rId132" Type="http://schemas.openxmlformats.org/officeDocument/2006/relationships/hyperlink" Target="https://www.ncbi.nlm.nih.gov/pmc/articles/PMC4124742/" TargetMode="External"/><Relationship Id="rId153" Type="http://schemas.openxmlformats.org/officeDocument/2006/relationships/hyperlink" Target="https://www.ncbi.nlm.nih.gov/pmc/articles/PMC4124742/" TargetMode="External"/><Relationship Id="rId174" Type="http://schemas.openxmlformats.org/officeDocument/2006/relationships/hyperlink" Target="https://www.ncbi.nlm.nih.gov/pmc/articles/PMC4124742/" TargetMode="External"/><Relationship Id="rId179" Type="http://schemas.openxmlformats.org/officeDocument/2006/relationships/hyperlink" Target="https://www.ncbi.nlm.nih.gov/pubmed/18684229" TargetMode="External"/><Relationship Id="rId195" Type="http://schemas.openxmlformats.org/officeDocument/2006/relationships/hyperlink" Target="https://www.ncbi.nlm.nih.gov/pmc/articles/PMC3816026/" TargetMode="External"/><Relationship Id="rId209" Type="http://schemas.openxmlformats.org/officeDocument/2006/relationships/hyperlink" Target="https://www.ncbi.nlm.nih.gov/pubmed/10455941" TargetMode="External"/><Relationship Id="rId190" Type="http://schemas.openxmlformats.org/officeDocument/2006/relationships/hyperlink" Target="https://www.ncbi.nlm.nih.gov/pubmed/19918370" TargetMode="External"/><Relationship Id="rId204" Type="http://schemas.openxmlformats.org/officeDocument/2006/relationships/hyperlink" Target="https://www.ncbi.nlm.nih.gov/pubmed/9256500" TargetMode="External"/><Relationship Id="rId220" Type="http://schemas.openxmlformats.org/officeDocument/2006/relationships/hyperlink" Target="https://www.ncbi.nlm.nih.gov/pubmed/9381480" TargetMode="External"/><Relationship Id="rId225" Type="http://schemas.openxmlformats.org/officeDocument/2006/relationships/hyperlink" Target="https://www.ncbi.nlm.nih.gov/pubmed/19603646" TargetMode="External"/><Relationship Id="rId241" Type="http://schemas.openxmlformats.org/officeDocument/2006/relationships/hyperlink" Target="https://www.ncbi.nlm.nih.gov/pubmed/5664217" TargetMode="External"/><Relationship Id="rId246" Type="http://schemas.openxmlformats.org/officeDocument/2006/relationships/hyperlink" Target="https://www.ncbi.nlm.nih.gov/pubmed/15451054" TargetMode="External"/><Relationship Id="rId267" Type="http://schemas.openxmlformats.org/officeDocument/2006/relationships/hyperlink" Target="https://www.ncbi.nlm.nih.gov/pubmed/21168539" TargetMode="External"/><Relationship Id="rId288" Type="http://schemas.openxmlformats.org/officeDocument/2006/relationships/hyperlink" Target="https://www.ncbi.nlm.nih.gov/pubmed/16782258" TargetMode="External"/><Relationship Id="rId15" Type="http://schemas.openxmlformats.org/officeDocument/2006/relationships/hyperlink" Target="https://www.ncbi.nlm.nih.gov/pmc/about/disclaimer/" TargetMode="External"/><Relationship Id="rId36" Type="http://schemas.openxmlformats.org/officeDocument/2006/relationships/hyperlink" Target="https://www.ncbi.nlm.nih.gov/pmc/articles/PMC4124742/" TargetMode="External"/><Relationship Id="rId57" Type="http://schemas.openxmlformats.org/officeDocument/2006/relationships/hyperlink" Target="https://www.ncbi.nlm.nih.gov/pmc/articles/PMC4124742/" TargetMode="External"/><Relationship Id="rId106" Type="http://schemas.openxmlformats.org/officeDocument/2006/relationships/hyperlink" Target="https://www.ncbi.nlm.nih.gov/pmc/articles/PMC4124742/" TargetMode="External"/><Relationship Id="rId127" Type="http://schemas.openxmlformats.org/officeDocument/2006/relationships/hyperlink" Target="https://www.ncbi.nlm.nih.gov/pmc/articles/PMC4124742/" TargetMode="External"/><Relationship Id="rId262" Type="http://schemas.openxmlformats.org/officeDocument/2006/relationships/hyperlink" Target="https://www.ncbi.nlm.nih.gov/pubmed/17688691" TargetMode="External"/><Relationship Id="rId283" Type="http://schemas.openxmlformats.org/officeDocument/2006/relationships/hyperlink" Target="https://www.ncbi.nlm.nih.gov/pmc/articles/PMC1247377/" TargetMode="External"/><Relationship Id="rId313" Type="http://schemas.openxmlformats.org/officeDocument/2006/relationships/hyperlink" Target="https://www.ncbi.nlm.nih.gov/pmc/articles/PMC4124742/?report=reader" TargetMode="External"/><Relationship Id="rId318" Type="http://schemas.openxmlformats.org/officeDocument/2006/relationships/hyperlink" Target="https://www.facebook.com/sharer/sharer.php?u=https://www.ncbi.nlm.nih.gov/pmc/articles/PMC4124742/" TargetMode="External"/><Relationship Id="rId10" Type="http://schemas.openxmlformats.org/officeDocument/2006/relationships/hyperlink" Target="https://www.ncbi.nlm.nih.gov/pubmed/?term=Cui%20Q%5BAuthor%5D&amp;cauthor=true&amp;cauthor_uid=24409811" TargetMode="External"/><Relationship Id="rId31" Type="http://schemas.openxmlformats.org/officeDocument/2006/relationships/hyperlink" Target="https://www.ncbi.nlm.nih.gov/pmc/articles/PMC4124742/" TargetMode="External"/><Relationship Id="rId52" Type="http://schemas.openxmlformats.org/officeDocument/2006/relationships/hyperlink" Target="https://www.ncbi.nlm.nih.gov/pmc/articles/PMC4124742/" TargetMode="External"/><Relationship Id="rId73" Type="http://schemas.openxmlformats.org/officeDocument/2006/relationships/hyperlink" Target="https://www.ncbi.nlm.nih.gov/pmc/articles/PMC4124742/" TargetMode="External"/><Relationship Id="rId78" Type="http://schemas.openxmlformats.org/officeDocument/2006/relationships/hyperlink" Target="https://www.ncbi.nlm.nih.gov/pmc/articles/PMC4124742/" TargetMode="External"/><Relationship Id="rId94" Type="http://schemas.openxmlformats.org/officeDocument/2006/relationships/hyperlink" Target="https://www.ncbi.nlm.nih.gov/pmc/articles/PMC4124742/figure/F4/" TargetMode="External"/><Relationship Id="rId99" Type="http://schemas.openxmlformats.org/officeDocument/2006/relationships/hyperlink" Target="https://www.ncbi.nlm.nih.gov/pmc/articles/PMC4124742/" TargetMode="External"/><Relationship Id="rId101" Type="http://schemas.openxmlformats.org/officeDocument/2006/relationships/hyperlink" Target="https://www.ncbi.nlm.nih.gov/pmc/articles/PMC4124742/" TargetMode="External"/><Relationship Id="rId122" Type="http://schemas.openxmlformats.org/officeDocument/2006/relationships/hyperlink" Target="https://www.ncbi.nlm.nih.gov/pmc/articles/PMC4124742/figure/F5/" TargetMode="External"/><Relationship Id="rId143" Type="http://schemas.openxmlformats.org/officeDocument/2006/relationships/hyperlink" Target="https://www.ncbi.nlm.nih.gov/pmc/articles/PMC4124742/" TargetMode="External"/><Relationship Id="rId148" Type="http://schemas.openxmlformats.org/officeDocument/2006/relationships/hyperlink" Target="https://www.ncbi.nlm.nih.gov/pmc/articles/PMC4124742/" TargetMode="External"/><Relationship Id="rId164" Type="http://schemas.openxmlformats.org/officeDocument/2006/relationships/hyperlink" Target="https://www.ncbi.nlm.nih.gov/pmc/articles/PMC4124742/" TargetMode="External"/><Relationship Id="rId169" Type="http://schemas.openxmlformats.org/officeDocument/2006/relationships/hyperlink" Target="https://www.ncbi.nlm.nih.gov/pmc/articles/PMC4124742/" TargetMode="External"/><Relationship Id="rId185" Type="http://schemas.openxmlformats.org/officeDocument/2006/relationships/hyperlink" Target="https://www.ncbi.nlm.nih.gov/pubmed/23326634" TargetMode="External"/><Relationship Id="rId4" Type="http://schemas.openxmlformats.org/officeDocument/2006/relationships/webSettings" Target="webSettings.xml"/><Relationship Id="rId9" Type="http://schemas.openxmlformats.org/officeDocument/2006/relationships/hyperlink" Target="https://www.ncbi.nlm.nih.gov/pubmed/?term=Liu%20Q%5BAuthor%5D&amp;cauthor=true&amp;cauthor_uid=24409811" TargetMode="External"/><Relationship Id="rId180" Type="http://schemas.openxmlformats.org/officeDocument/2006/relationships/hyperlink" Target="https://www.ncbi.nlm.nih.gov/pubmed/14642323" TargetMode="External"/><Relationship Id="rId210" Type="http://schemas.openxmlformats.org/officeDocument/2006/relationships/hyperlink" Target="https://www.ncbi.nlm.nih.gov/pubmed/22439806" TargetMode="External"/><Relationship Id="rId215" Type="http://schemas.openxmlformats.org/officeDocument/2006/relationships/hyperlink" Target="https://www.ncbi.nlm.nih.gov/pubmed/16019926" TargetMode="External"/><Relationship Id="rId236" Type="http://schemas.openxmlformats.org/officeDocument/2006/relationships/hyperlink" Target="https://www.ncbi.nlm.nih.gov/pmc/articles/PMC21838/" TargetMode="External"/><Relationship Id="rId257" Type="http://schemas.openxmlformats.org/officeDocument/2006/relationships/hyperlink" Target="https://www.ncbi.nlm.nih.gov/pubmed/11172169" TargetMode="External"/><Relationship Id="rId278" Type="http://schemas.openxmlformats.org/officeDocument/2006/relationships/hyperlink" Target="https://www.ncbi.nlm.nih.gov/pubmed/23466506" TargetMode="External"/><Relationship Id="rId26" Type="http://schemas.openxmlformats.org/officeDocument/2006/relationships/hyperlink" Target="https://www.ncbi.nlm.nih.gov/pmc/articles/PMC4124742/" TargetMode="External"/><Relationship Id="rId231" Type="http://schemas.openxmlformats.org/officeDocument/2006/relationships/hyperlink" Target="https://www.ncbi.nlm.nih.gov/pmc/articles/PMC2652357/" TargetMode="External"/><Relationship Id="rId252" Type="http://schemas.openxmlformats.org/officeDocument/2006/relationships/hyperlink" Target="https://www.ncbi.nlm.nih.gov/pubmed/19603006" TargetMode="External"/><Relationship Id="rId273" Type="http://schemas.openxmlformats.org/officeDocument/2006/relationships/hyperlink" Target="https://www.ncbi.nlm.nih.gov/pubmed/9383440" TargetMode="External"/><Relationship Id="rId294" Type="http://schemas.openxmlformats.org/officeDocument/2006/relationships/hyperlink" Target="https://www.ncbi.nlm.nih.gov/pubmed/23630418" TargetMode="External"/><Relationship Id="rId308" Type="http://schemas.openxmlformats.org/officeDocument/2006/relationships/hyperlink" Target="https://www.ncbi.nlm.nih.gov/pubmed/10973395" TargetMode="External"/><Relationship Id="rId329" Type="http://schemas.openxmlformats.org/officeDocument/2006/relationships/fontTable" Target="fontTable.xml"/><Relationship Id="rId47" Type="http://schemas.openxmlformats.org/officeDocument/2006/relationships/image" Target="media/image2.jpeg"/><Relationship Id="rId68" Type="http://schemas.openxmlformats.org/officeDocument/2006/relationships/hyperlink" Target="https://www.ncbi.nlm.nih.gov/pmc/articles/PMC4124742/" TargetMode="External"/><Relationship Id="rId89" Type="http://schemas.openxmlformats.org/officeDocument/2006/relationships/hyperlink" Target="https://www.ncbi.nlm.nih.gov/pmc/articles/PMC4124742/" TargetMode="External"/><Relationship Id="rId112" Type="http://schemas.openxmlformats.org/officeDocument/2006/relationships/hyperlink" Target="https://www.ncbi.nlm.nih.gov/pmc/articles/PMC4124742/" TargetMode="External"/><Relationship Id="rId133" Type="http://schemas.openxmlformats.org/officeDocument/2006/relationships/hyperlink" Target="file:///C:\Users\MonluxMD\Desktop\orginized%20files\Marshall%20Thurber\C60%20toxcity\C60%20NIH%20report.html" TargetMode="External"/><Relationship Id="rId154" Type="http://schemas.openxmlformats.org/officeDocument/2006/relationships/hyperlink" Target="https://www.ncbi.nlm.nih.gov/pmc/articles/PMC4124742/" TargetMode="External"/><Relationship Id="rId175" Type="http://schemas.openxmlformats.org/officeDocument/2006/relationships/hyperlink" Target="file:///C:\Users\MonluxMD\Desktop\orginized%20files\Marshall%20Thurber\C60%20toxcity\C60%20NIH%20report.html" TargetMode="External"/><Relationship Id="rId196" Type="http://schemas.openxmlformats.org/officeDocument/2006/relationships/hyperlink" Target="https://www.ncbi.nlm.nih.gov/pubmed/24222918" TargetMode="External"/><Relationship Id="rId200" Type="http://schemas.openxmlformats.org/officeDocument/2006/relationships/hyperlink" Target="https://www.ncbi.nlm.nih.gov/pubmed/18723357" TargetMode="External"/><Relationship Id="rId16" Type="http://schemas.openxmlformats.org/officeDocument/2006/relationships/hyperlink" Target="https://www.ncbi.nlm.nih.gov/entrez/eutils/elink.fcgi?dbfrom=pubmed&amp;retmode=ref&amp;cmd=prlinks&amp;id=24409811" TargetMode="External"/><Relationship Id="rId221" Type="http://schemas.openxmlformats.org/officeDocument/2006/relationships/hyperlink" Target="https://www.ncbi.nlm.nih.gov/pubmed/21542456" TargetMode="External"/><Relationship Id="rId242" Type="http://schemas.openxmlformats.org/officeDocument/2006/relationships/hyperlink" Target="https://www.ncbi.nlm.nih.gov/pmc/articles/PMC426870/" TargetMode="External"/><Relationship Id="rId263" Type="http://schemas.openxmlformats.org/officeDocument/2006/relationships/hyperlink" Target="https://www.ncbi.nlm.nih.gov/pubmed/17405915" TargetMode="External"/><Relationship Id="rId284" Type="http://schemas.openxmlformats.org/officeDocument/2006/relationships/hyperlink" Target="https://www.ncbi.nlm.nih.gov/pubmed/15238277" TargetMode="External"/><Relationship Id="rId319" Type="http://schemas.openxmlformats.org/officeDocument/2006/relationships/image" Target="media/image6.png"/><Relationship Id="rId37" Type="http://schemas.openxmlformats.org/officeDocument/2006/relationships/hyperlink" Target="https://www.ncbi.nlm.nih.gov/pmc/articles/PMC4124742/" TargetMode="External"/><Relationship Id="rId58" Type="http://schemas.openxmlformats.org/officeDocument/2006/relationships/hyperlink" Target="https://www.ncbi.nlm.nih.gov/pmc/articles/PMC4124742/" TargetMode="External"/><Relationship Id="rId79" Type="http://schemas.openxmlformats.org/officeDocument/2006/relationships/hyperlink" Target="https://www.ncbi.nlm.nih.gov/pmc/articles/PMC4124742/" TargetMode="External"/><Relationship Id="rId102" Type="http://schemas.openxmlformats.org/officeDocument/2006/relationships/hyperlink" Target="https://www.ncbi.nlm.nih.gov/pmc/articles/PMC4124742/" TargetMode="External"/><Relationship Id="rId123" Type="http://schemas.openxmlformats.org/officeDocument/2006/relationships/hyperlink" Target="https://www.ncbi.nlm.nih.gov/pmc/articles/PMC4124742/table/T1/" TargetMode="External"/><Relationship Id="rId144" Type="http://schemas.openxmlformats.org/officeDocument/2006/relationships/hyperlink" Target="https://www.ncbi.nlm.nih.gov/pmc/articles/PMC4124742/" TargetMode="External"/><Relationship Id="rId330" Type="http://schemas.openxmlformats.org/officeDocument/2006/relationships/theme" Target="theme/theme1.xml"/><Relationship Id="rId90" Type="http://schemas.openxmlformats.org/officeDocument/2006/relationships/hyperlink" Target="https://www.ncbi.nlm.nih.gov/pmc/articles/PMC4124742/" TargetMode="External"/><Relationship Id="rId165" Type="http://schemas.openxmlformats.org/officeDocument/2006/relationships/hyperlink" Target="https://www.ncbi.nlm.nih.gov/pmc/articles/PMC4124742/" TargetMode="External"/><Relationship Id="rId186" Type="http://schemas.openxmlformats.org/officeDocument/2006/relationships/hyperlink" Target="https://www.ncbi.nlm.nih.gov/pubmed/15298006" TargetMode="External"/><Relationship Id="rId211" Type="http://schemas.openxmlformats.org/officeDocument/2006/relationships/hyperlink" Target="https://www.ncbi.nlm.nih.gov/pubmed/9652391" TargetMode="External"/><Relationship Id="rId232" Type="http://schemas.openxmlformats.org/officeDocument/2006/relationships/hyperlink" Target="https://www.ncbi.nlm.nih.gov/pubmed/18505267" TargetMode="External"/><Relationship Id="rId253" Type="http://schemas.openxmlformats.org/officeDocument/2006/relationships/hyperlink" Target="https://www.ncbi.nlm.nih.gov/pubmed/11937359" TargetMode="External"/><Relationship Id="rId274" Type="http://schemas.openxmlformats.org/officeDocument/2006/relationships/hyperlink" Target="https://www.ncbi.nlm.nih.gov/pubmed/19762759" TargetMode="External"/><Relationship Id="rId295" Type="http://schemas.openxmlformats.org/officeDocument/2006/relationships/hyperlink" Target="https://www.ncbi.nlm.nih.gov/pubmed/19900832" TargetMode="External"/><Relationship Id="rId309" Type="http://schemas.openxmlformats.org/officeDocument/2006/relationships/hyperlink" Target="https://www.ncbi.nlm.nih.gov/pubmed/12027540" TargetMode="External"/><Relationship Id="rId27" Type="http://schemas.openxmlformats.org/officeDocument/2006/relationships/hyperlink" Target="https://www.ncbi.nlm.nih.gov/pmc/articles/PMC4124742/" TargetMode="External"/><Relationship Id="rId48" Type="http://schemas.openxmlformats.org/officeDocument/2006/relationships/hyperlink" Target="https://www.ncbi.nlm.nih.gov/pmc/articles/PMC4124742/figure/F2/" TargetMode="External"/><Relationship Id="rId69" Type="http://schemas.openxmlformats.org/officeDocument/2006/relationships/hyperlink" Target="https://www.ncbi.nlm.nih.gov/pmc/articles/PMC4124742/" TargetMode="External"/><Relationship Id="rId113" Type="http://schemas.openxmlformats.org/officeDocument/2006/relationships/hyperlink" Target="https://www.ncbi.nlm.nih.gov/pmc/articles/PMC4124742/" TargetMode="External"/><Relationship Id="rId134" Type="http://schemas.openxmlformats.org/officeDocument/2006/relationships/hyperlink" Target="https://www.ncbi.nlm.nih.gov/pmc/articles/PMC4124742/" TargetMode="External"/><Relationship Id="rId320" Type="http://schemas.openxmlformats.org/officeDocument/2006/relationships/hyperlink" Target="https://twitter.com/intent/tweet?url=https%3A%2F%2Fwww.ncbi.nlm.nih.gov%2Fpmc%2Farticles%2FPMC4124742%2F&amp;text=The%20applications%20of%20buckminsterfullerene%20C60%20and%20derivatives%20in%20orthopaedic%20research" TargetMode="External"/><Relationship Id="rId80" Type="http://schemas.openxmlformats.org/officeDocument/2006/relationships/hyperlink" Target="https://www.ncbi.nlm.nih.gov/pmc/articles/PMC4124742/" TargetMode="External"/><Relationship Id="rId155" Type="http://schemas.openxmlformats.org/officeDocument/2006/relationships/hyperlink" Target="https://www.ncbi.nlm.nih.gov/pmc/articles/PMC4124742/" TargetMode="External"/><Relationship Id="rId176" Type="http://schemas.openxmlformats.org/officeDocument/2006/relationships/hyperlink" Target="https://www.ncbi.nlm.nih.gov/pubmed/20800639" TargetMode="External"/><Relationship Id="rId197" Type="http://schemas.openxmlformats.org/officeDocument/2006/relationships/hyperlink" Target="https://www.ncbi.nlm.nih.gov/pubmed/19539750" TargetMode="External"/><Relationship Id="rId201" Type="http://schemas.openxmlformats.org/officeDocument/2006/relationships/hyperlink" Target="https://www.ncbi.nlm.nih.gov/pubmed/22523954" TargetMode="External"/><Relationship Id="rId222" Type="http://schemas.openxmlformats.org/officeDocument/2006/relationships/hyperlink" Target="https://www.ncbi.nlm.nih.gov/pmc/articles/PMC1995806/" TargetMode="External"/><Relationship Id="rId243" Type="http://schemas.openxmlformats.org/officeDocument/2006/relationships/hyperlink" Target="https://www.ncbi.nlm.nih.gov/pubmed/4506074" TargetMode="External"/><Relationship Id="rId264" Type="http://schemas.openxmlformats.org/officeDocument/2006/relationships/hyperlink" Target="https://www.ncbi.nlm.nih.gov/pmc/articles/PMC2335377/" TargetMode="External"/><Relationship Id="rId285" Type="http://schemas.openxmlformats.org/officeDocument/2006/relationships/hyperlink" Target="https://www.ncbi.nlm.nih.gov/pubmed/16005959" TargetMode="External"/><Relationship Id="rId17" Type="http://schemas.openxmlformats.org/officeDocument/2006/relationships/hyperlink" Target="https://www.ncbi.nlm.nih.gov/pmc/articles/PMC4124742/citedby/" TargetMode="External"/><Relationship Id="rId38" Type="http://schemas.openxmlformats.org/officeDocument/2006/relationships/hyperlink" Target="https://www.ncbi.nlm.nih.gov/pmc/articles/PMC4124742/" TargetMode="External"/><Relationship Id="rId59" Type="http://schemas.openxmlformats.org/officeDocument/2006/relationships/hyperlink" Target="https://www.ncbi.nlm.nih.gov/pmc/articles/PMC4124742/" TargetMode="External"/><Relationship Id="rId103" Type="http://schemas.openxmlformats.org/officeDocument/2006/relationships/hyperlink" Target="https://www.ncbi.nlm.nih.gov/pmc/articles/PMC4124742/" TargetMode="External"/><Relationship Id="rId124" Type="http://schemas.openxmlformats.org/officeDocument/2006/relationships/hyperlink" Target="https://www.ncbi.nlm.nih.gov/pmc/articles/PMC4124742/" TargetMode="External"/><Relationship Id="rId310" Type="http://schemas.openxmlformats.org/officeDocument/2006/relationships/hyperlink" Target="https://www.ncbi.nlm.nih.gov/pubmed/17236230" TargetMode="External"/><Relationship Id="rId70" Type="http://schemas.openxmlformats.org/officeDocument/2006/relationships/hyperlink" Target="https://www.ncbi.nlm.nih.gov/pmc/articles/PMC4124742/" TargetMode="External"/><Relationship Id="rId91" Type="http://schemas.openxmlformats.org/officeDocument/2006/relationships/hyperlink" Target="https://www.ncbi.nlm.nih.gov/pmc/articles/PMC4124742/figure/F4/" TargetMode="External"/><Relationship Id="rId145" Type="http://schemas.openxmlformats.org/officeDocument/2006/relationships/hyperlink" Target="https://www.ncbi.nlm.nih.gov/pmc/articles/PMC4124742/" TargetMode="External"/><Relationship Id="rId166" Type="http://schemas.openxmlformats.org/officeDocument/2006/relationships/hyperlink" Target="https://www.ncbi.nlm.nih.gov/pmc/articles/PMC4124742/" TargetMode="External"/><Relationship Id="rId187" Type="http://schemas.openxmlformats.org/officeDocument/2006/relationships/hyperlink" Target="https://www.ncbi.nlm.nih.gov/pubmed/19478820" TargetMode="External"/><Relationship Id="rId1" Type="http://schemas.openxmlformats.org/officeDocument/2006/relationships/numbering" Target="numbering.xml"/><Relationship Id="rId212" Type="http://schemas.openxmlformats.org/officeDocument/2006/relationships/hyperlink" Target="https://www.ncbi.nlm.nih.gov/pubmed/11316856" TargetMode="External"/><Relationship Id="rId233" Type="http://schemas.openxmlformats.org/officeDocument/2006/relationships/hyperlink" Target="https://www.ncbi.nlm.nih.gov/pubmed/16579641" TargetMode="External"/><Relationship Id="rId254" Type="http://schemas.openxmlformats.org/officeDocument/2006/relationships/hyperlink" Target="https://www.ncbi.nlm.nih.gov/pubmed/18854342" TargetMode="External"/><Relationship Id="rId28" Type="http://schemas.openxmlformats.org/officeDocument/2006/relationships/hyperlink" Target="https://www.ncbi.nlm.nih.gov/pmc/articles/PMC4124742/" TargetMode="External"/><Relationship Id="rId49" Type="http://schemas.openxmlformats.org/officeDocument/2006/relationships/hyperlink" Target="https://www.ncbi.nlm.nih.gov/pmc/articles/PMC4124742/" TargetMode="External"/><Relationship Id="rId114" Type="http://schemas.openxmlformats.org/officeDocument/2006/relationships/hyperlink" Target="https://www.ncbi.nlm.nih.gov/pmc/articles/PMC4124742/" TargetMode="External"/><Relationship Id="rId275" Type="http://schemas.openxmlformats.org/officeDocument/2006/relationships/hyperlink" Target="https://www.ncbi.nlm.nih.gov/pubmed/21386768" TargetMode="External"/><Relationship Id="rId296" Type="http://schemas.openxmlformats.org/officeDocument/2006/relationships/hyperlink" Target="https://www.ncbi.nlm.nih.gov/pmc/articles/PMC2266664/" TargetMode="External"/><Relationship Id="rId300" Type="http://schemas.openxmlformats.org/officeDocument/2006/relationships/hyperlink" Target="https://www.ncbi.nlm.nih.gov/pubmed/17974491" TargetMode="External"/><Relationship Id="rId60" Type="http://schemas.openxmlformats.org/officeDocument/2006/relationships/hyperlink" Target="https://www.ncbi.nlm.nih.gov/pmc/articles/PMC4124742/" TargetMode="External"/><Relationship Id="rId81" Type="http://schemas.openxmlformats.org/officeDocument/2006/relationships/hyperlink" Target="https://www.ncbi.nlm.nih.gov/pmc/articles/PMC4124742/" TargetMode="External"/><Relationship Id="rId135" Type="http://schemas.openxmlformats.org/officeDocument/2006/relationships/hyperlink" Target="https://www.ncbi.nlm.nih.gov/pmc/articles/PMC4124742/" TargetMode="External"/><Relationship Id="rId156" Type="http://schemas.openxmlformats.org/officeDocument/2006/relationships/hyperlink" Target="https://www.ncbi.nlm.nih.gov/pmc/articles/PMC4124742/" TargetMode="External"/><Relationship Id="rId177" Type="http://schemas.openxmlformats.org/officeDocument/2006/relationships/hyperlink" Target="https://www.ncbi.nlm.nih.gov/pubmed/16682790" TargetMode="External"/><Relationship Id="rId198" Type="http://schemas.openxmlformats.org/officeDocument/2006/relationships/hyperlink" Target="https://www.ncbi.nlm.nih.gov/pubmed/18793270" TargetMode="External"/><Relationship Id="rId321" Type="http://schemas.openxmlformats.org/officeDocument/2006/relationships/hyperlink" Target="https://twitter.com/intent/tweet?url=https://www.ncbi.nlm.nih.gov/pmc/articles/PMC4124742/&amp;text=The%20applications%20of%20buckminsterfullerene%20C60%20and%20derivatives%20in%20orthopaedic%20research" TargetMode="External"/><Relationship Id="rId202" Type="http://schemas.openxmlformats.org/officeDocument/2006/relationships/hyperlink" Target="https://www.ncbi.nlm.nih.gov/pubmed/9173920" TargetMode="External"/><Relationship Id="rId223" Type="http://schemas.openxmlformats.org/officeDocument/2006/relationships/hyperlink" Target="https://www.ncbi.nlm.nih.gov/pubmed/17664135" TargetMode="External"/><Relationship Id="rId244" Type="http://schemas.openxmlformats.org/officeDocument/2006/relationships/hyperlink" Target="https://www.ncbi.nlm.nih.gov/pubmed/11076791" TargetMode="External"/><Relationship Id="rId18" Type="http://schemas.openxmlformats.org/officeDocument/2006/relationships/hyperlink" Target="https://www.ncbi.nlm.nih.gov/pmc/articles/PMC4124742/" TargetMode="External"/><Relationship Id="rId39" Type="http://schemas.openxmlformats.org/officeDocument/2006/relationships/hyperlink" Target="https://www.ncbi.nlm.nih.gov/pmc/articles/PMC4124742/" TargetMode="External"/><Relationship Id="rId265" Type="http://schemas.openxmlformats.org/officeDocument/2006/relationships/hyperlink" Target="https://www.ncbi.nlm.nih.gov/pubmed/16816945" TargetMode="External"/><Relationship Id="rId286" Type="http://schemas.openxmlformats.org/officeDocument/2006/relationships/hyperlink" Target="https://www.ncbi.nlm.nih.gov/pubmed/19209592" TargetMode="External"/><Relationship Id="rId50" Type="http://schemas.openxmlformats.org/officeDocument/2006/relationships/hyperlink" Target="file:///C:\Users\MonluxMD\Desktop\orginized%20files\Marshall%20Thurber\C60%20toxcity\C60%20NIH%20report.html" TargetMode="External"/><Relationship Id="rId104" Type="http://schemas.openxmlformats.org/officeDocument/2006/relationships/hyperlink" Target="https://www.ncbi.nlm.nih.gov/pmc/articles/PMC4124742/" TargetMode="External"/><Relationship Id="rId125" Type="http://schemas.openxmlformats.org/officeDocument/2006/relationships/hyperlink" Target="https://www.ncbi.nlm.nih.gov/pmc/articles/PMC4124742/" TargetMode="External"/><Relationship Id="rId146" Type="http://schemas.openxmlformats.org/officeDocument/2006/relationships/hyperlink" Target="https://www.ncbi.nlm.nih.gov/pmc/articles/PMC4124742/" TargetMode="External"/><Relationship Id="rId167" Type="http://schemas.openxmlformats.org/officeDocument/2006/relationships/hyperlink" Target="https://www.ncbi.nlm.nih.gov/pmc/articles/PMC4124742/" TargetMode="External"/><Relationship Id="rId188" Type="http://schemas.openxmlformats.org/officeDocument/2006/relationships/hyperlink" Target="https://www.ncbi.nlm.nih.gov/pubmed/17907184" TargetMode="External"/><Relationship Id="rId311" Type="http://schemas.openxmlformats.org/officeDocument/2006/relationships/hyperlink" Target="https://www.ncbi.nlm.nih.gov/pmc/articles/PMC2935937/" TargetMode="External"/><Relationship Id="rId71" Type="http://schemas.openxmlformats.org/officeDocument/2006/relationships/hyperlink" Target="https://www.ncbi.nlm.nih.gov/pmc/articles/PMC4124742/" TargetMode="External"/><Relationship Id="rId92" Type="http://schemas.openxmlformats.org/officeDocument/2006/relationships/hyperlink" Target="https://www.ncbi.nlm.nih.gov/core/lw/2.0/html/tileshop_pmc/tileshop_pmc_inline.html?title=Click%20on%20image%20to%20zoom&amp;p=PMC3&amp;id=4124742_nihms608096f4.jpg" TargetMode="External"/><Relationship Id="rId213" Type="http://schemas.openxmlformats.org/officeDocument/2006/relationships/hyperlink" Target="https://www.ncbi.nlm.nih.gov/pubmed/10431834" TargetMode="External"/><Relationship Id="rId234" Type="http://schemas.openxmlformats.org/officeDocument/2006/relationships/hyperlink" Target="https://www.ncbi.nlm.nih.gov/pubmed/16481917" TargetMode="External"/><Relationship Id="rId2" Type="http://schemas.openxmlformats.org/officeDocument/2006/relationships/styles" Target="styles.xml"/><Relationship Id="rId29" Type="http://schemas.openxmlformats.org/officeDocument/2006/relationships/image" Target="media/image1.jpeg"/><Relationship Id="rId255" Type="http://schemas.openxmlformats.org/officeDocument/2006/relationships/hyperlink" Target="https://www.ncbi.nlm.nih.gov/pubmed/15564911" TargetMode="External"/><Relationship Id="rId276" Type="http://schemas.openxmlformats.org/officeDocument/2006/relationships/hyperlink" Target="https://www.ncbi.nlm.nih.gov/pubmed/9726301" TargetMode="External"/><Relationship Id="rId297" Type="http://schemas.openxmlformats.org/officeDocument/2006/relationships/hyperlink" Target="https://www.ncbi.nlm.nih.gov/pubmed/17634942" TargetMode="External"/><Relationship Id="rId40" Type="http://schemas.openxmlformats.org/officeDocument/2006/relationships/hyperlink" Target="https://www.ncbi.nlm.nih.gov/pmc/articles/PMC4124742/" TargetMode="External"/><Relationship Id="rId115" Type="http://schemas.openxmlformats.org/officeDocument/2006/relationships/hyperlink" Target="https://www.ncbi.nlm.nih.gov/pmc/articles/PMC4124742/" TargetMode="External"/><Relationship Id="rId136" Type="http://schemas.openxmlformats.org/officeDocument/2006/relationships/hyperlink" Target="https://www.ncbi.nlm.nih.gov/pmc/articles/PMC4124742/" TargetMode="External"/><Relationship Id="rId157" Type="http://schemas.openxmlformats.org/officeDocument/2006/relationships/hyperlink" Target="https://www.ncbi.nlm.nih.gov/pmc/articles/PMC4124742/" TargetMode="External"/><Relationship Id="rId178" Type="http://schemas.openxmlformats.org/officeDocument/2006/relationships/hyperlink" Target="https://www.ncbi.nlm.nih.gov/pubmed/17776407" TargetMode="External"/><Relationship Id="rId301" Type="http://schemas.openxmlformats.org/officeDocument/2006/relationships/hyperlink" Target="https://www.ncbi.nlm.nih.gov/pubmed/2028297" TargetMode="External"/><Relationship Id="rId322" Type="http://schemas.openxmlformats.org/officeDocument/2006/relationships/image" Target="media/image7.png"/><Relationship Id="rId61" Type="http://schemas.openxmlformats.org/officeDocument/2006/relationships/hyperlink" Target="https://www.ncbi.nlm.nih.gov/pmc/articles/PMC4124742/" TargetMode="External"/><Relationship Id="rId82" Type="http://schemas.openxmlformats.org/officeDocument/2006/relationships/hyperlink" Target="https://www.ncbi.nlm.nih.gov/pmc/articles/PMC4124742/" TargetMode="External"/><Relationship Id="rId199" Type="http://schemas.openxmlformats.org/officeDocument/2006/relationships/hyperlink" Target="https://www.ncbi.nlm.nih.gov/pubmed/18023183" TargetMode="External"/><Relationship Id="rId203" Type="http://schemas.openxmlformats.org/officeDocument/2006/relationships/hyperlink" Target="https://www.ncbi.nlm.nih.gov/pmc/articles/PMC23208/" TargetMode="External"/><Relationship Id="rId19" Type="http://schemas.openxmlformats.org/officeDocument/2006/relationships/hyperlink" Target="file:///C:\Users\MonluxMD\Desktop\orginized%20files\Marshall%20Thurber\C60%20toxcity\C60%20NIH%20report.html" TargetMode="External"/><Relationship Id="rId224" Type="http://schemas.openxmlformats.org/officeDocument/2006/relationships/hyperlink" Target="https://www.ncbi.nlm.nih.gov/pubmed/22108244" TargetMode="External"/><Relationship Id="rId245" Type="http://schemas.openxmlformats.org/officeDocument/2006/relationships/hyperlink" Target="https://www.ncbi.nlm.nih.gov/pubmed/10605929" TargetMode="External"/><Relationship Id="rId266" Type="http://schemas.openxmlformats.org/officeDocument/2006/relationships/hyperlink" Target="https://www.ncbi.nlm.nih.gov/pubmed/3289089" TargetMode="External"/><Relationship Id="rId287" Type="http://schemas.openxmlformats.org/officeDocument/2006/relationships/hyperlink" Target="https://www.ncbi.nlm.nih.gov/pubmed/164074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11828</Words>
  <Characters>67423</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Monlux</dc:creator>
  <cp:keywords/>
  <dc:description/>
  <cp:lastModifiedBy>George Monlux</cp:lastModifiedBy>
  <cp:revision>1</cp:revision>
  <dcterms:created xsi:type="dcterms:W3CDTF">2018-10-25T11:33:00Z</dcterms:created>
  <dcterms:modified xsi:type="dcterms:W3CDTF">2018-10-25T11:34:00Z</dcterms:modified>
</cp:coreProperties>
</file>